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right="560"/>
        <w:spacing w:after="0" w:line="21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Megjelent CERN a Proceedings of the CAS-CERN gyorsító School: Teljesítmény átalakítók, Baden, Svájc, május 07-14 2014. szerkesztette R. Bailey, a CERN-2015-003 (CERN, Genf, 2015)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62636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.4pt" to="492.9pt,1.4pt" o:allowincell="f" strokecolor="#000000" strokeweight="0.1pt"/>
            </w:pict>
          </mc:Fallback>
        </mc:AlternateConten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80"/>
        <w:spacing w:after="0" w:line="29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22"/>
          <w:szCs w:val="22"/>
          <w:b w:val="1"/>
          <w:bCs w:val="1"/>
          <w:color w:val="auto"/>
        </w:rPr>
        <w:t>Metalizált Film kondenzátor Élettartam szervíz és Hibamód Analysis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8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R. Gallay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8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Garmanage, Farvagny-le-Petit, Svájc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42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Absztrakt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420" w:right="1420"/>
        <w:spacing w:after="0" w:line="2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Az egyik fő aggodalom teljesítmény elektronikai mérnökök tekintetében kondenzátorok megjósolni, hogy a hátralévő élettartam érdekében előre költséges hibák vagy a rendszer elérhetetlensége. Ezt úgy érhetjük el, Weibull statisztikai joggal kombinált gyorsulás tényezők a hőmérséklet, a feszültség, és a páratartalom. Ez a tanulmány tárgyalja a különböző kondenzátor meghibásodása módok és ezek hatásait és következményeit.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142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Kulcsszavak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42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Metalizált fólia kondenzátor; meghibásodás; élettartam.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840" w:hanging="558"/>
        <w:spacing w:after="0" w:line="228" w:lineRule="exact"/>
        <w:tabs>
          <w:tab w:leader="none" w:pos="840" w:val="left"/>
        </w:tabs>
        <w:numPr>
          <w:ilvl w:val="0"/>
          <w:numId w:val="1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kondenzátor technológiák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left="280"/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Az alábbi, különböző teljesítmény kondenzátor technológiákat használnak inverter: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840" w:right="260" w:hanging="388"/>
        <w:spacing w:after="0" w:line="237" w:lineRule="exact"/>
        <w:tabs>
          <w:tab w:leader="none" w:pos="840" w:val="left"/>
        </w:tabs>
        <w:numPr>
          <w:ilvl w:val="0"/>
          <w:numId w:val="2"/>
        </w:numP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Elektrolit kondenzátorok jellemzi nagyon nagy a kapacitása egységnyi térfogatra jutó, de az alacsony névleges feszültségű és nagyon fontos teljesítmény veszteségek miatt az ionos vezetőképességet. Különösen a nagyobb a kapacitás sűrűség, annál alacsonyabb a névleges feszültség.</w:t>
      </w:r>
    </w:p>
    <w:p>
      <w:pPr>
        <w:spacing w:after="0" w:line="183" w:lineRule="exact"/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</w:pPr>
    </w:p>
    <w:p>
      <w:pPr>
        <w:ind w:left="840" w:right="480" w:hanging="388"/>
        <w:spacing w:after="0" w:line="230" w:lineRule="exact"/>
        <w:tabs>
          <w:tab w:leader="none" w:pos="841" w:val="left"/>
        </w:tabs>
        <w:numPr>
          <w:ilvl w:val="0"/>
          <w:numId w:val="2"/>
        </w:numP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Film fóliakondenzátorokkal készült dielektromos filmek között két sima alumínium fólia. Ezeket a kondenzátorokat tudja fenntartani nagy áram.</w:t>
      </w:r>
    </w:p>
    <w:p>
      <w:pPr>
        <w:spacing w:after="0" w:line="144" w:lineRule="exact"/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</w:pPr>
    </w:p>
    <w:p>
      <w:pPr>
        <w:ind w:left="840" w:hanging="389"/>
        <w:spacing w:after="0" w:line="242" w:lineRule="exact"/>
        <w:tabs>
          <w:tab w:leader="none" w:pos="840" w:val="left"/>
        </w:tabs>
        <w:numPr>
          <w:ilvl w:val="0"/>
          <w:numId w:val="2"/>
        </w:numP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Fémmel ellátott film kondenzátorok, amelyek készült dielektromos filmet egy fém bevonat a felületre. Ezzel 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840" w:right="24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technológiával az elektromos mező stressz lehet sokkal nagyobb, mint a fólia kondenzátorok köszönhetően fémezésénél öngyógyító képességét.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280" w:right="260" w:firstLine="566"/>
        <w:spacing w:after="0" w:line="2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Ma a dielektromos film, amely használt főleg polipropilén (PP) vagy polietilén-tereftalát (PET). Korábban, papír (PA) használtunk film fólia technológia-vagy tiszta papír vagy keverve polipropilén (DM). A speciális alkalmazások, ahol a magas hőmérsékletre van szükség, polietilén-naftalén (PEN) akár 125 ° C-on vagy polifenilén-szulfid (PPS) legfeljebb 150 ° C-on használjuk.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84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PET bemutatja a következő előnyökkel PP: dielektromos állandója 50% nagyobb (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ε =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3.3 versus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280" w:right="300"/>
        <w:spacing w:after="0" w:line="25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2.2), ami azt jelenti, 50% -kal több kapacitás az azonos térfogatú, jobb mechanikai ellenállás (ami nagyobb állóképesség, hogy öngyógyító), és annak lehetőségét, manipulálására vékonyabb filmek, ami következésképpen egy kisebb kapacitás és magasabb kiaknázása hőmérsékleten ( + 10 ° C). A negatív lényeg az, hogy a veszteségi tényező tízszer nagyobb, ami azt jelenti, tízszeres növekedése a hőmérséklet magasság az azonos névleges teljesítmény. A névleges villamos mező közel azonos.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280" w:right="420" w:firstLine="566"/>
        <w:spacing w:after="0" w:line="24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A kapacitív elemeket kell szárítani a nedvesség eltávolítása, amely okozna gyorsított öregedés és nagyobb veszteségek, ha maradt a kondenzátor. Abban az esetben, teljesítmény kondenzátorok, a szárított elemek vagy impregnált növényi olajjal vagy gázzal (SF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6,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N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2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stb.).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280" w:right="280" w:firstLine="567"/>
        <w:spacing w:after="0" w:line="25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dielektromos filmek vagy seb vagy halmozott mielőtt behelyezésre egy műanyag vagy fém tartályba. A legjobb tekercselőgépeket előállításához szükséges aktív seb elemei megbízható minőség esetén olajmentes kondenzátorok. Megoldásának egyik módja a nehéz irányítani a tér közötti arány a gáz és a film a kanyargós görbék a szél a film egy nagy átmérőjű kerék és vágni a filmet rétegeket, így egy verem.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814705</wp:posOffset>
                </wp:positionV>
                <wp:extent cx="62636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64.15pt" to="492.9pt,64.15pt" o:allowincell="f" strokecolor="#000000" strokeweight="0.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7320" w:type="dxa"/>
            <w:vAlign w:val="bottom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 xml:space="preserve">0007-8328 - c  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©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 xml:space="preserve"> CERN, 2015 Megjelent a Creative Commons Nevezd CC BY 4.0 licenc.</w:t>
            </w:r>
          </w:p>
        </w:tc>
        <w:tc>
          <w:tcPr>
            <w:tcW w:w="232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45</w:t>
            </w:r>
          </w:p>
        </w:tc>
      </w:tr>
      <w:tr>
        <w:trPr>
          <w:trHeight w:val="209"/>
        </w:trPr>
        <w:tc>
          <w:tcPr>
            <w:tcW w:w="7320" w:type="dxa"/>
            <w:vAlign w:val="bottom"/>
          </w:tcPr>
          <w:p>
            <w:pPr>
              <w:spacing w:after="0" w:line="175" w:lineRule="exact"/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0000FF"/>
              </w:rPr>
            </w:pPr>
            <w:hyperlink r:id="rId8">
              <w:r>
                <w:rPr>
                  <w:rFonts w:ascii="Arial Unicode MS" w:cs="Arial Unicode MS" w:eastAsia="Arial Unicode MS" w:hAnsi="Arial Unicode MS"/>
                  <w:sz w:val="13"/>
                  <w:szCs w:val="13"/>
                  <w:b w:val="1"/>
                  <w:bCs w:val="1"/>
                  <w:color w:val="0000FF"/>
                </w:rPr>
                <w:t>http://dx.doi.org/10.5170/CERN-2015-003.45</w:t>
              </w:r>
            </w:hyperlink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40"/>
          </w:cols>
          <w:pgMar w:left="1140" w:top="836" w:right="1126" w:bottom="0" w:gutter="0" w:footer="0" w:header="0"/>
        </w:sectPr>
      </w:pPr>
    </w:p>
    <w:bookmarkStart w:id="1" w:name="page2"/>
    <w:bookmarkEnd w:id="1"/>
    <w:p>
      <w:pPr>
        <w:ind w:left="8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R. G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enyhít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right="340" w:firstLine="566"/>
        <w:spacing w:after="0" w:line="25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műanyag tartályokat nem teljesen nedvességálló-mindig van némi maradék permeabilitás polimerek. Abban az esetben, fémezett filmek, ez ahhoz vezethet, hogy az elektróda korrózió, amikor a kondenzátor benyújtott környezeti feltételek a magas páratartalom.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firstLine="567"/>
        <w:spacing w:after="0" w:line="25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Az elektromos mező stess fémezett fólia kondenzátorok sokkal nagyobb lehet, mint a film fóliakondenzátorokkal. Ez annak köszönhető, hogy a képességét, az elektródok gyíkfű. Ha meghibásodás történik a polimer, a jelenlegi növeli a hiba és az elektród közelében a hiba. Közel a hiba az áramsűrűség lesz elég nagy ahhoz, hogy elpárologjon a 100 nm-es fémes réteg. Ha a kondenzátor jól megtervezett, a jelenség leáll a átmérője elég nagy ahhoz, hogy elszigetelje a hibát, és elég kicsi ahhoz, hogy ne sértse meg a filmet. Az elektród ellenállása (adott ohm / négyzet) kulcsa paraméter határozza meg, hogy jó öngyógyító magatartás, a Joule veszteség a lehető legkisebb. Egy vastag fémezett réteg lesz egy kisebb ellenállás, de magasabb energiák is részt során az öngyógyító folyamat,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60" w:hanging="558"/>
        <w:spacing w:after="0" w:line="228" w:lineRule="exact"/>
        <w:tabs>
          <w:tab w:leader="none" w:pos="560" w:val="left"/>
        </w:tabs>
        <w:numPr>
          <w:ilvl w:val="0"/>
          <w:numId w:val="3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Kondenzátor meghibásodása módok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legtöbb fémmel fóliakondenzátorok nem azért, mert a kapacitás csökken az előírt szint alá tolerancia. Ez általában akkor fordul elő, miután a várható élettartam a gyártó által megadott. A kapacitás csökkenése általában növekedése kíséri a veszteségi tényező.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right="100" w:firstLine="567"/>
        <w:spacing w:after="0" w:line="2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Ami az általános szempontból okainak kondenzátor hibák előfordulhatnak, mert a rossz tervezés, a rossz folyamatokat, vagy nem megfelelő alkalmazási feltételek. A tervezés során az alábbi okok meghibásodásához vezethet: a dielektromos film túl vékony, szigetelési távolságokat túl kicsi, a fémrétegben túl vastag vagy túl vékony, vagy a vezető nem megfelelő méretű. A gyártás során, okai lehetnek a következő: rossz mechanikai feszültség kontroll során a tekercselés, rossz szárítási (és így túl nagy a nedvességtartalom a kondenzátor), vagy rossz tömítés. Az alkalmazás, az okok lehetnek: magasabb feszültségek, EMI, villámlás, magasabb hőmérsékleten, vagy egy magas páratartalmú környezetben.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0"/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 meghibásodási módok egy kicsit bonyolultabb leírni, mert a különböző okok vezethetnek az azonos szállítási módok. Az 1.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ábrán egy nem kimerítő összefoglalót a lehetséges meghibásodási módok ami előfordulhat fémezett fólia kondenzátorok.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251460</wp:posOffset>
            </wp:positionV>
            <wp:extent cx="4849495" cy="32581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020" w:hanging="152"/>
        <w:spacing w:after="0" w:line="188" w:lineRule="exact"/>
        <w:tabs>
          <w:tab w:leader="none" w:pos="1020" w:val="left"/>
        </w:tabs>
        <w:numPr>
          <w:ilvl w:val="0"/>
          <w:numId w:val="4"/>
        </w:numP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ábra: Metalizált fólia kondenzátor hibamódokra azok okait, hatásait, és következményei</w:t>
      </w:r>
    </w:p>
    <w:p>
      <w:pPr>
        <w:sectPr>
          <w:pgSz w:w="11900" w:h="16838" w:orient="portrait"/>
          <w:cols w:equalWidth="0" w:num="1">
            <w:col w:w="9160"/>
          </w:cols>
          <w:pgMar w:left="1420" w:top="881" w:right="132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42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46</w:t>
      </w:r>
    </w:p>
    <w:p>
      <w:pPr>
        <w:sectPr>
          <w:pgSz w:w="11900" w:h="16838" w:orient="portrait"/>
          <w:cols w:equalWidth="0" w:num="1">
            <w:col w:w="9160"/>
          </w:cols>
          <w:pgMar w:left="1420" w:top="881" w:right="1326" w:bottom="183" w:gutter="0" w:footer="0" w:header="0"/>
          <w:type w:val="continuous"/>
        </w:sectPr>
      </w:pPr>
    </w:p>
    <w:bookmarkStart w:id="2" w:name="page3"/>
    <w:bookmarkEnd w:id="2"/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ETALLIZED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ILM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C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APACITOR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IFETIME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E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ÉRTÉKELÉS ÉS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Failure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ÓDA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20" w:right="740" w:firstLine="566"/>
        <w:spacing w:after="0" w:line="2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Például, a rossz hely tényező vezérlő dielektromos filmek közben a tekercselés művelet lesz az oka az elektróda corona fémkiválás, ami vezet gyors kapacitás csökkenés és a veszteség funkció a kondenzátor.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120" w:right="160" w:firstLine="566"/>
        <w:spacing w:after="0" w:line="24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rossz választás a fémréteg ellenállás értékét, vagy rossz metallizáció ellenőrzés során a film gyártási folyamat vezet a rossz öngyógyító menedzsment, ami károsíthatja a dielektromos film mechanikusan és hőt termel, amely helyben továbbítani a következő film réteget. Ebben a helyzetben a dielektromos film szilárdsága csökken, és bontás előfordulhat.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0" w:right="360"/>
        <w:spacing w:after="0" w:line="2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Következésképpen, kémények olvasztott polipropilén jelenhetnek meg a kanyargós. A képződött csatorna vezetőképes, indukáló egy csepp a szigetelési ellenállást, és a szivárgási áram, amely elegendő hőt olvadni a polipropilén és a belső nyomás növelése a kondenzátor. Együtt rossz fémezésnek ellenállás, a végső következménye lehet, a legrosszabb esetben vezethet a tűz keletkezését, vagy akár egy kondenzátor robbanás.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1078230</wp:posOffset>
            </wp:positionH>
            <wp:positionV relativeFrom="paragraph">
              <wp:posOffset>242570</wp:posOffset>
            </wp:positionV>
            <wp:extent cx="3749040" cy="2810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06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Ábra. 2: Kémény keresztül a filmrétegek a kondenzátor tekercselés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20" w:firstLine="566"/>
        <w:spacing w:after="0" w:line="2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Az egyik fő meghibásodási módok gyakran a nagy áramok, amelyek növelik a kondenzátor hőmérséklete, ami csökkenti a letörési feszültséget, és a legrosszabb esetben akár olvadás a kondenzátor. Ebben a tekintetben az alak a kondenzátor nagyon fontos. A nagy teljesítményű alkalmazások, fontos, hogy létrejöjjön a rövid elemeket annak érdekében, hogy csökkentsék a jelenlegi úthossz és számának növelése párhuzamos rétegeket, és ennek következtében csökkenti a fűtés. A jelenleg rendelkezésre álló kapacitást egy kondenzátor van adva át a soros ellenállás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R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s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és a veszteségi tényező tan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δ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s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különböző frekvenciákon. A kapcsolat a két tényező, a nagyfrekvenciás tartományban, ahol a hatását a szigetelési ellenállás elhanyagolható, kifejezve a lineáris kapcsolat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tbl>
      <w:tblPr>
        <w:tblLayout w:type="fixed"/>
        <w:tblInd w:w="3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540" w:type="dxa"/>
            <w:vAlign w:val="bottom"/>
            <w:gridSpan w:val="2"/>
          </w:tcPr>
          <w:p>
            <w:pPr>
              <w:ind w:left="8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ZRCZ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1360" w:type="dxa"/>
            <w:vAlign w:val="bottom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  <w:w w:val="94"/>
              </w:rPr>
              <w:t xml:space="preserve">Cser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  <w:w w:val="94"/>
              </w:rPr>
              <w:t>δ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  <w:w w:val="94"/>
              </w:rPr>
              <w:t xml:space="preserve">   =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  <w:w w:val="94"/>
                <w:vertAlign w:val="superscript"/>
              </w:rPr>
              <w:t xml:space="preserve">R s  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  <w:w w:val="94"/>
              </w:rPr>
              <w:t>=</w:t>
            </w:r>
          </w:p>
        </w:tc>
        <w:tc>
          <w:tcPr>
            <w:tcW w:w="180" w:type="dxa"/>
            <w:vAlign w:val="bottom"/>
          </w:tcPr>
          <w:p>
            <w:pPr>
              <w:ind w:left="1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  <w:w w:val="78"/>
              </w:rPr>
              <w:t>si</w:t>
            </w:r>
          </w:p>
        </w:tc>
        <w:tc>
          <w:tcPr>
            <w:tcW w:w="2100" w:type="dxa"/>
            <w:vAlign w:val="bottom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 xml:space="preserve">ω   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</w:rPr>
              <w:t>,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(1)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-97155</wp:posOffset>
                </wp:positionV>
                <wp:extent cx="1924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9pt,-7.6499pt" to="237.05pt,-7.6499pt" o:allowincell="f" strokecolor="#000000" strokeweight="0.49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20"/>
        <w:spacing w:after="0" w:line="22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hol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C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 kapacitás,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ω =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2 π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f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az a gyakoriság, Z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R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az impedancia valós része és Z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én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az impedancia képzetes része.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20" w:right="280" w:firstLine="566"/>
        <w:spacing w:after="0" w:line="24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nedvesség jelenléte a kondenzátor, mert rossz szárítási a gyártási folyamat során, vagy azért, mert a nedvesség-áteresztő képessége az anyag túl magas volt, vagy azért, mert a páratartalom szintjét, ahol a kondenzátorok vannak telepítve volt túl magas, vezethet Három meghibásodási módok eltérő hatásai és következményei.</w:t>
      </w:r>
    </w:p>
    <w:p>
      <w:pPr>
        <w:sectPr>
          <w:pgSz w:w="11900" w:h="16838" w:orient="portrait"/>
          <w:cols w:equalWidth="0" w:num="1">
            <w:col w:w="9420"/>
          </w:cols>
          <w:pgMar w:left="1300" w:top="881" w:right="1186" w:bottom="2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47</w:t>
      </w:r>
    </w:p>
    <w:p>
      <w:pPr>
        <w:sectPr>
          <w:pgSz w:w="11900" w:h="16838" w:orient="portrait"/>
          <w:cols w:equalWidth="0" w:num="1">
            <w:col w:w="9420"/>
          </w:cols>
          <w:pgMar w:left="1300" w:top="881" w:right="1186" w:bottom="223" w:gutter="0" w:footer="0" w:header="0"/>
          <w:type w:val="continuous"/>
        </w:sectPr>
      </w:pPr>
    </w:p>
    <w:bookmarkStart w:id="3" w:name="page4"/>
    <w:bookmarkEnd w:id="3"/>
    <w:p>
      <w:pPr>
        <w:ind w:left="8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R. G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enyhít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1354455</wp:posOffset>
            </wp:positionH>
            <wp:positionV relativeFrom="paragraph">
              <wp:posOffset>330200</wp:posOffset>
            </wp:positionV>
            <wp:extent cx="3048000" cy="22860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18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Ábra. 3: Elektróda korrózió miatt a nedvesség jelenlétében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firstLine="566"/>
        <w:spacing w:after="0" w:line="256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Az első elektród korróziós (ld. 3) [6-8], ahol a soros ellenállás lassan idővel növekedni. A hatás egy veszteségi tényező növekedése miatt az elektród vastagságának csökkentése és a hőleadás növelése. Az emelkedés a hőmérséklet gyorsítja a kapacitás csökkenése miatt csökken a dielektromos szilárdság hőmérséklet, befejezve a veszteség funkció a kondenzátor.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40" w:firstLine="566"/>
        <w:spacing w:after="0" w:line="25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második hatás (ld. 4), ma ismert, mint 'Corona' [9-11], annak köszönhető, hogy vagy csökken a dielektromos szilárdság a gáz van jelen a kondenzátor közötti résekben a dielektromos film, vagy egy rossz tér tényező vezérlő a filmek. Minél nagyobb a különbség, annál súlyosabb a probléma. A vastagsága a rés jellemzi a kitöltési tényező, amely az arány a dielektrikum vastagsága a teljes az elektródok közötti távolság. Ez a tér tényező nagyon nehéz ellenőrizni a kanyarokban lapos tekercsek, vezető gyártók építeni vagy kerek vagy tekercselő stack. Csak eredményes, tekercselés gépek érhet el jó helyet tényező vezérlő irányító mechanikai feszültséget a film során a tekercselés. Ennek az a következménye egy gyors kapacitás csökkenése miatt a megjelenése a korona kisülések az elektród élek, azaz a helyeket, ahol az elektromos mező erősebb miatt pont hatást. Abban az esetben, szegmentált fémezés, a Corona meghibásodási mód is terjednek a nem-fémes vonalak, amelyek külön az aktív elektróda fémes területeken.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1398270</wp:posOffset>
            </wp:positionH>
            <wp:positionV relativeFrom="paragraph">
              <wp:posOffset>410845</wp:posOffset>
            </wp:positionV>
            <wp:extent cx="2959735" cy="22663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26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Ábra. 4: Fémtelenített elektródák koronakisüléssel ív a gáz közötti rés a filmek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right="460" w:firstLine="567"/>
        <w:spacing w:after="0" w:line="24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harmadik hiba üzemmód csökkenti a szigetelési ellenállás, amely a párhuzamos ellenállás a kondenzátor. A csökkenés szigetelési ellenállás növekedéséhez vezet a szivárgási áram az egyik elektróda környezetéből a másik. Ez a jelenség az alacsony frekvencia. Meg lehet mérni keresztül akár a</w:t>
      </w:r>
    </w:p>
    <w:p>
      <w:pPr>
        <w:sectPr>
          <w:pgSz w:w="11900" w:h="16838" w:orient="portrait"/>
          <w:cols w:equalWidth="0" w:num="1">
            <w:col w:w="9140"/>
          </w:cols>
          <w:pgMar w:left="1420" w:top="881" w:right="134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42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48</w:t>
      </w:r>
    </w:p>
    <w:p>
      <w:pPr>
        <w:sectPr>
          <w:pgSz w:w="11900" w:h="16838" w:orient="portrait"/>
          <w:cols w:equalWidth="0" w:num="1">
            <w:col w:w="9140"/>
          </w:cols>
          <w:pgMar w:left="1420" w:top="881" w:right="1346" w:bottom="183" w:gutter="0" w:footer="0" w:header="0"/>
          <w:type w:val="continuous"/>
        </w:sectPr>
      </w:pPr>
    </w:p>
    <w:bookmarkStart w:id="4" w:name="page5"/>
    <w:bookmarkEnd w:id="4"/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ETALLIZED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ILM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C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APACITOR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IFETIME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E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ÉRTÉKELÉS ÉS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Failure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ÓDA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120" w:right="40"/>
        <w:spacing w:after="0" w:line="22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veszteségi tényező (tan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i w:val="1"/>
          <w:iCs w:val="1"/>
          <w:color w:val="auto"/>
        </w:rPr>
        <w:t>δ)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vagy az egyenáramú ellenállás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i w:val="1"/>
          <w:iCs w:val="1"/>
          <w:color w:val="auto"/>
        </w:rPr>
        <w:t>R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7"/>
          <w:szCs w:val="7"/>
          <w:b w:val="1"/>
          <w:bCs w:val="1"/>
          <w:color w:val="auto"/>
        </w:rPr>
        <w:t>o.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A kapcsolat a két paraméter között adják a következő összefüggés (csak akkor igaz, nagyon alacsony frekvenciák):</w:t>
      </w:r>
    </w:p>
    <w:tbl>
      <w:tblPr>
        <w:tblLayout w:type="fixed"/>
        <w:tblInd w:w="3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>ZZRC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32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1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0" w:type="dxa"/>
            <w:vAlign w:val="bottom"/>
            <w:vMerge w:val="restart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 xml:space="preserve">Cser 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δ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  <w:vertAlign w:val="subscript"/>
              </w:rPr>
              <w:t>p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 xml:space="preserve">   =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6"/>
                <w:szCs w:val="6"/>
                <w:b w:val="1"/>
                <w:bCs w:val="1"/>
                <w:color w:val="auto"/>
              </w:rPr>
              <w:t>R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=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1521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.</w:t>
            </w:r>
          </w:p>
        </w:tc>
        <w:tc>
          <w:tcPr>
            <w:tcW w:w="1820" w:type="dxa"/>
            <w:vAlign w:val="bottom"/>
            <w:vMerge w:val="restart"/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2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8"/>
                <w:szCs w:val="8"/>
                <w:b w:val="1"/>
                <w:bCs w:val="1"/>
                <w:color w:val="auto"/>
                <w:w w:val="89"/>
              </w:rPr>
              <w:t>én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1881"/>
              <w:spacing w:after="0" w:line="4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color w:val="auto"/>
              </w:rPr>
              <w:t xml:space="preserve">p </w:t>
            </w:r>
            <w:r>
              <w:rPr>
                <w:rFonts w:ascii="Arial Unicode MS" w:cs="Arial Unicode MS" w:eastAsia="Arial Unicode MS" w:hAnsi="Arial Unicode MS"/>
                <w:sz w:val="34"/>
                <w:szCs w:val="34"/>
                <w:b w:val="1"/>
                <w:bCs w:val="1"/>
                <w:i w:val="1"/>
                <w:iCs w:val="1"/>
                <w:color w:val="auto"/>
                <w:vertAlign w:val="superscript"/>
              </w:rPr>
              <w:t>ω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120" w:right="80"/>
        <w:spacing w:after="0" w:line="25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Ez utóbbi meghibásodási mód lehet egy elszabadult viselkedését. Minél több a szigetelési ellenállás csökken, a több hő keletkezik, és a több, a hőmérséklet növekszik, ami egy új szigetelő csökkenést. Ez a jelenség a végén a megjelenése kémények és olvadása a dielektromos.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680" w:hanging="558"/>
        <w:spacing w:after="0" w:line="228" w:lineRule="exact"/>
        <w:tabs>
          <w:tab w:leader="none" w:pos="680" w:val="left"/>
        </w:tabs>
        <w:numPr>
          <w:ilvl w:val="0"/>
          <w:numId w:val="5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a születéskor várható élettartam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120"/>
        <w:spacing w:after="0" w:line="25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Az élettartam [12] egy kondenzátor van itt az ideje, hogy kudarc, ahol mulasztásnak minősül a hiánya képes egy alkatrész teljesítette a meghatározott feladatokat. A tönkremeneteli módok sorolni két fő csoportba sorolhatók: „korai kudarcok” és „elhasználódik kudarcok”, amelyek tükröződnek a görbe az úgynevezett „fürdőkád” görbe (ábra. 5): az elején a komponens létezését, annak „gyerekcipőben jár”, a meghibásodási ráta gyorsan csökken. Ezek a „fiatalok” kudarcok általában átvizsgáljuk rutin vizsgálatokat végezni a gyártó. Ezek miatt a tervezés és folyamat hiányosságokat, amelyeket nem mutattak ki a tervezési és a folyamat meghibásodási módok és hatások elemzését FMEA végre a fejlesztés során. Ők jobban valószínűleg gyártási folyamat variációk vagy változások anyag minőségét. A folyamat variációk miatt szerszámkopást üzemeltető változás, és nem a képződés. Ez a korai meghibásodási mód nem veszi figyelembe a Weibull modell-elmélet. Normális működés ez a hiba a folyamat nem figyelhető meg az alkalmazás területén. Ha ez bekövetkezik, a kondenzátorok általában olyan termék gyári garancia.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20" w:right="380" w:firstLine="567"/>
        <w:spacing w:after="0" w:line="25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Miután a „korai kudarcok” rezsim már a hibaszázalék kezdi követni a statisztikai becslés törvényt, amely több paramétertől függ, hogy lehet meghatározni kísérleti függvényében a feszültség, a hőmérséklet és a környezeti páratartalom mellett. Bebizonyosodott, hogy a Weibull statisztika is egy jó becslés a kondenzátor élettartama várható.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1068705</wp:posOffset>
            </wp:positionH>
            <wp:positionV relativeFrom="paragraph">
              <wp:posOffset>208280</wp:posOffset>
            </wp:positionV>
            <wp:extent cx="3771900" cy="24638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120" w:right="20"/>
        <w:spacing w:after="0" w:line="22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Ábra. 5: Fürdőkádgörbe a hibaszázalék funkció mutatja a gyermekkorban vagy meghibásodások elején az alkatrész élete (piros) és a elhasználódik görbe (kék) által meghatározott aWeibull törvény 2 paramétere van: a teljesítmény tényező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i w:val="1"/>
          <w:iCs w:val="1"/>
          <w:color w:val="auto"/>
        </w:rPr>
        <w:t>p =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1,8 és az inverze a szükséges idő 63% a mintából nem λ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0 =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1 / 1,500,000 h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- 1.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680"/>
        <w:spacing w:after="0" w:line="22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hibaszázalék λ ( t) adható FIT (meghibásodás időben), amely a meghibásodások száma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során előforduló 10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9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h dolgozik egy tárgy, azaz a 3E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- 7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h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- 1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megfelel 300 FIT. A Weibull hibaszázalék adják</w:t>
      </w:r>
    </w:p>
    <w:p>
      <w:pPr>
        <w:sectPr>
          <w:pgSz w:w="11900" w:h="16838" w:orient="portrait"/>
          <w:cols w:equalWidth="0" w:num="1">
            <w:col w:w="9280"/>
          </w:cols>
          <w:pgMar w:left="1300" w:top="881" w:right="1326" w:bottom="2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49</w:t>
      </w:r>
    </w:p>
    <w:p>
      <w:pPr>
        <w:sectPr>
          <w:pgSz w:w="11900" w:h="16838" w:orient="portrait"/>
          <w:cols w:equalWidth="0" w:num="1">
            <w:col w:w="9280"/>
          </w:cols>
          <w:pgMar w:left="1300" w:top="881" w:right="1326" w:bottom="223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3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jc w:val="right"/>
              <w:ind w:right="118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 xml:space="preserve">R. G </w:t>
            </w:r>
            <w:r>
              <w:rPr>
                <w:rFonts w:ascii="Arial Unicode MS" w:cs="Arial Unicode MS" w:eastAsia="Arial Unicode MS" w:hAnsi="Arial Unicode MS"/>
                <w:sz w:val="12"/>
                <w:szCs w:val="12"/>
                <w:b w:val="1"/>
                <w:bCs w:val="1"/>
                <w:color w:val="auto"/>
              </w:rPr>
              <w:t>enyhít</w:t>
            </w:r>
          </w:p>
        </w:tc>
      </w:tr>
      <w:tr>
        <w:trPr>
          <w:trHeight w:val="859"/>
        </w:trPr>
        <w:tc>
          <w:tcPr>
            <w:tcW w:w="31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λ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()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t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=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λ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  <w:vertAlign w:val="subscript"/>
              </w:rPr>
              <w:t>0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  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p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>(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λ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vertAlign w:val="subscript"/>
              </w:rPr>
              <w:t>0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t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)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  <w:vertAlign w:val="superscript"/>
              </w:rPr>
              <w:t>p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vertAlign w:val="superscript"/>
              </w:rPr>
              <w:t>- 1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</w:rPr>
              <w:t>,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(3)</w:t>
            </w:r>
          </w:p>
        </w:tc>
      </w:tr>
    </w:tbl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hol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λ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0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Nem szabad összetéveszteni a λ ( t). λ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0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egy állandó (időtől független, de függ a hőmérséklettől, feszültség, és páratartalom), amely megfelel az inverze a szükséges idő 63% -át, hogy a minta nem, és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λ ( t)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inverze az átlagos idő, hogy hiba (MTTF). A elhasználódik hiba régióban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λ ( t)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növekszik az idővel. A gyártó leírások, így a maximális értékét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λ ( t)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belül a bejelentett élettartama: például, 150 FIT és 100.000 h élettartam várható ábrán. 5. A meredekségi paraméter a Weibull törvény jelöljük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right="340" w:firstLine="566"/>
        <w:spacing w:after="0" w:line="23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A túlélő vagy Weibull megbízhatósági függvény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i w:val="1"/>
          <w:iCs w:val="1"/>
          <w:color w:val="auto"/>
        </w:rPr>
        <w:t>R (t)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annak a valószínűsége, hogy egy kondenzátor nem sikerült, vagy nem elvesztette funkcióját időpontban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i w:val="1"/>
          <w:iCs w:val="1"/>
          <w:color w:val="auto"/>
        </w:rPr>
        <w:t>t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és még mindig működik. A túlélő függvény adja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tbl>
      <w:tblPr>
        <w:tblLayout w:type="fixed"/>
        <w:tblInd w:w="3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800" w:type="dxa"/>
            <w:vAlign w:val="bottom"/>
            <w:vMerge w:val="restart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R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()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E =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812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- </w:t>
            </w:r>
            <w:r>
              <w:rPr>
                <w:rFonts w:ascii="Arial Unicode MS" w:cs="Arial Unicode MS" w:eastAsia="Arial Unicode MS" w:hAnsi="Arial Unicode MS"/>
                <w:sz w:val="8"/>
                <w:szCs w:val="8"/>
                <w:b w:val="1"/>
                <w:bCs w:val="1"/>
                <w:color w:val="auto"/>
              </w:rPr>
              <w:t>(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λ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  <w:vertAlign w:val="subscript"/>
              </w:rPr>
              <w:t>0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t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 )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i w:val="1"/>
                <w:iCs w:val="1"/>
                <w:color w:val="auto"/>
                <w:vertAlign w:val="superscript"/>
              </w:rPr>
              <w:t>p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jc w:val="right"/>
              <w:ind w:right="1652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.</w:t>
            </w: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right="40"/>
        <w:spacing w:after="0" w:line="24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Amikor számával szorozva kondenzátorok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szakaszos, ez adja a várt száma kondenzátorok után még mindig dolgozik idő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t.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Vannak kondenzátor gyártó [13], hogy egy egyszerű exponenciális modell helyett a bonyolultabb Weibull modell szerint. Valójában az exponenciális modell megfelel a Weibull modell, ahol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p =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1. Ebben az exponenciális modell a hibaszázalék alatt állandó marad az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right="380"/>
        <w:spacing w:after="0" w:line="237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idő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λ ( t) = λ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0.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Hogy illik ez a modell a tényleges statisztikai viselkedése kondenzátorok, gyártók korlátozza az exponenciális modell egy olyan időszakot, amely úgy hívnak "élettartama a termék. Ezen időtartam után a hibaszázalék emelkedni kezd.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right="480" w:firstLine="566"/>
        <w:spacing w:after="0" w:line="256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Weibull statisztikák is használható megjósolni a kapacitás alakulását a fémezett kondenzátor alatt elektromos, termikus és páratartalom feszültségek. Ilyen esetekben a hiba meghatározása lesz, például 1% vagy 1%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0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kapacitás veszteség, attól függően, hogy az elérhető felbontás a mérési eszköz. A kapacitás kap egyenesen a túlélő funkciót. A Weibull megbízható élettartam, ami a várható élettartama egy kondenzátor egy adott megbízhatósági szinten (az arány a többi dolgozó tárgyak, esetünkben kapacitás) van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3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500" w:type="dxa"/>
            <w:vAlign w:val="bottom"/>
            <w:vMerge w:val="restart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vertAlign w:val="subscript"/>
              </w:rPr>
              <w:t>R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>=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>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vMerge w:val="restart"/>
          </w:tcPr>
          <w:p>
            <w:pPr>
              <w:ind w:left="20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 xml:space="preserve">{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- ln ()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R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>p</w:t>
            </w: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sz w:val="22"/>
                <w:szCs w:val="22"/>
                <w:b w:val="1"/>
                <w:bCs w:val="1"/>
                <w:color w:val="auto"/>
              </w:rPr>
              <w:t>}</w:t>
            </w: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1 /</w:t>
            </w: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</w:rPr>
              <w:t>,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88"/>
              </w:rPr>
              <w:t>λ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color w:val="auto"/>
                <w:w w:val="71"/>
              </w:rPr>
              <w:t>0</w:t>
            </w:r>
          </w:p>
        </w:tc>
        <w:tc>
          <w:tcPr>
            <w:tcW w:w="2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hol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i w:val="1"/>
          <w:iCs w:val="1"/>
          <w:color w:val="auto"/>
        </w:rPr>
        <w:t>λ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0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hibaszázalék a speciális esetben, amikor 1 / e, vagy 36,8%, a minták még mindig fennáll.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Asztal 1: Kondenzátor a születéskor várható élettartam tényező függvényében a szükséges kapacitás minimális exponenciális modell.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241300</wp:posOffset>
                </wp:positionV>
                <wp:extent cx="16675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5pt,19pt" to="292.25pt,1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253365</wp:posOffset>
                </wp:positionV>
                <wp:extent cx="16675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5pt,19.95pt" to="292.25pt,19.9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3340"/>
        <w:spacing w:after="0" w:line="175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1"/>
          <w:szCs w:val="11"/>
          <w:b w:val="1"/>
          <w:bCs w:val="1"/>
          <w:color w:val="auto"/>
        </w:rPr>
        <w:t>Megbízhatóság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 xml:space="preserve">Élettartam, 1 / </w:t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i w:val="1"/>
          <w:iCs w:val="1"/>
          <w:color w:val="auto"/>
        </w:rPr>
        <w:t>λ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640" w:hanging="1307"/>
        <w:spacing w:after="0" w:line="161" w:lineRule="exact"/>
        <w:tabs>
          <w:tab w:leader="none" w:pos="4640" w:val="left"/>
        </w:tabs>
        <w:numPr>
          <w:ilvl w:val="0"/>
          <w:numId w:val="6"/>
        </w:numPr>
        <w:rPr>
          <w:rFonts w:ascii="Arial Unicode MS" w:cs="Arial Unicode MS" w:eastAsia="Arial Unicode MS" w:hAnsi="Arial Unicode MS"/>
          <w:sz w:val="11"/>
          <w:szCs w:val="11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 xml:space="preserve">0 (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h)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52070</wp:posOffset>
                </wp:positionV>
                <wp:extent cx="16675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5pt,4.1pt" to="292.25pt,4.1pt" o:allowincell="f" strokecolor="#000000" strokeweight="0.4809pt"/>
            </w:pict>
          </mc:Fallback>
        </mc:AlternateConten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36,8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1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50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0,693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63.2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0,500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80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0,223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90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0,105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95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0,051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340"/>
        <w:spacing w:after="0" w:line="188" w:lineRule="exact"/>
        <w:tabs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98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0.020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60325</wp:posOffset>
                </wp:positionV>
                <wp:extent cx="16764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25pt,4.75pt" to="292.25pt,4.7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48260</wp:posOffset>
                </wp:positionV>
                <wp:extent cx="16764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25pt,3.8pt" to="292.25pt,3.8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right="640" w:firstLine="566"/>
        <w:spacing w:after="0" w:line="24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Ha a gyártó ad egy kondenzátor meghibásodása aránya 50 FIT 40 ° C-on és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i w:val="1"/>
          <w:iCs w:val="1"/>
          <w:color w:val="auto"/>
        </w:rPr>
        <w:t>N /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2 egy exponenciális modell, ez azt jelenti, hogy az élettartam várható egy kapacitív csepp 10% -os tűréssel lesz 2.1 × 10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6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h ilyen körülmények között.</w:t>
      </w:r>
    </w:p>
    <w:p>
      <w:pPr>
        <w:sectPr>
          <w:pgSz w:w="11900" w:h="16838" w:orient="portrait"/>
          <w:cols w:equalWidth="0" w:num="1">
            <w:col w:w="9520"/>
          </w:cols>
          <w:pgMar w:left="1420" w:top="881" w:right="96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42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50</w:t>
      </w:r>
    </w:p>
    <w:p>
      <w:pPr>
        <w:sectPr>
          <w:pgSz w:w="11900" w:h="16838" w:orient="portrait"/>
          <w:cols w:equalWidth="0" w:num="1">
            <w:col w:w="9520"/>
          </w:cols>
          <w:pgMar w:left="1420" w:top="881" w:right="966" w:bottom="183" w:gutter="0" w:footer="0" w:header="0"/>
          <w:type w:val="continuous"/>
        </w:sectPr>
      </w:pPr>
    </w:p>
    <w:bookmarkStart w:id="6" w:name="page7"/>
    <w:bookmarkEnd w:id="6"/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ETALLIZED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ILM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C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APACITOR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IFETIME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E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ÉRTÉKELÉS ÉS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Failure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ÓDA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680" w:hanging="558"/>
        <w:spacing w:after="0" w:line="228" w:lineRule="exact"/>
        <w:tabs>
          <w:tab w:leader="none" w:pos="680" w:val="left"/>
        </w:tabs>
        <w:numPr>
          <w:ilvl w:val="0"/>
          <w:numId w:val="7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Öregedés gyorsulás tényezők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120" w:right="460"/>
        <w:spacing w:after="0" w:line="25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sebesség a kapacitív csepp függ a hőmérséklettől, a feszültség, és a páratartalom. A nő ezen paraméterek minősülnek öregedés gyorsulás tényezők. Ezek a tényezők határozzák meg kísérletileg alapján az alábbi elméletek.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2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4.1 Hőfok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20" w:right="660"/>
        <w:spacing w:after="0" w:line="22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Bebizonyosodott, [14], hogy a kondenzátor az öregedés, mint a hőmérséklet függvényében a következőképpen egy Arrhenius törvényt, más szóval egy exponenciális törvény</w:t>
      </w:r>
    </w:p>
    <w:p>
      <w:pPr>
        <w:spacing w:after="0" w:line="72" w:lineRule="exact"/>
        <w:rPr>
          <w:sz w:val="20"/>
          <w:szCs w:val="20"/>
          <w:color w:val="auto"/>
        </w:rPr>
      </w:pPr>
    </w:p>
    <w:tbl>
      <w:tblPr>
        <w:tblLayout w:type="fixed"/>
        <w:tblInd w:w="3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E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ind w:left="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  <w:w w:val="70"/>
              </w:rPr>
              <w:t>egy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ind w:right="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1 1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146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 •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40" w:type="dxa"/>
            <w:vAlign w:val="bottom"/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T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()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T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color w:val="auto"/>
                <w:w w:val="98"/>
                <w:vertAlign w:val="superscript"/>
              </w:rPr>
              <w:t xml:space="preserve">= 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8"/>
                <w:vertAlign w:val="superscript"/>
              </w:rPr>
              <w:t>t</w:t>
            </w: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color w:val="auto"/>
                <w:w w:val="98"/>
                <w:vertAlign w:val="superscript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  <w:w w:val="98"/>
              </w:rPr>
              <w:t>T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  <w:w w:val="98"/>
                <w:vertAlign w:val="subscript"/>
              </w:rPr>
              <w:t>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 xml:space="preserve">exp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2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134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 xml:space="preserve">• •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</w:rPr>
              <w:t>,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</w:rPr>
              <w:t>•</w:t>
            </w:r>
          </w:p>
        </w:tc>
        <w:tc>
          <w:tcPr>
            <w:tcW w:w="440" w:type="dxa"/>
            <w:vAlign w:val="bottom"/>
            <w:gridSpan w:val="3"/>
          </w:tcPr>
          <w:p>
            <w:pPr>
              <w:ind w:left="4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i w:val="1"/>
                <w:iCs w:val="1"/>
                <w:color w:val="auto"/>
              </w:rPr>
              <w:t>k TT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1464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</w:rPr>
              <w:t>•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1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>B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right"/>
              <w:ind w:right="146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 xml:space="preserve">n 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 •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20" w:firstLine="1"/>
        <w:spacing w:after="0" w:line="27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hol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t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  <w:vertAlign w:val="subscript"/>
        </w:rPr>
        <w:t>T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i w:val="1"/>
          <w:iCs w:val="1"/>
          <w:color w:val="auto"/>
          <w:vertAlign w:val="subscript"/>
        </w:rPr>
        <w:t>n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várható élettartam egy referencia hőmérséklet, 70 ° C-on vagy 85 ° C-on például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k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B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Boltzmann állandó, és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E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egy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egy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aktiválási energia. Egy viszonylag jó illeszkedése Epcos / Vishay faktorok (ld. 6. ábra) illeszthetünk kapott arány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a /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k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color w:val="auto"/>
        </w:rPr>
        <w:t>B =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7000 K [15]. Között 40 ° C-on és 70 ° C-on van gyorsító faktora 7.1 a figyelembe vett paraméterek.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1094105</wp:posOffset>
            </wp:positionH>
            <wp:positionV relativeFrom="paragraph">
              <wp:posOffset>158115</wp:posOffset>
            </wp:positionV>
            <wp:extent cx="3721100" cy="2425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08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Ábra. 6.: Hőmérséklet gyorsulás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2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4.2 Feszültség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960" w:type="dxa"/>
            <w:vAlign w:val="bottom"/>
            <w:gridSpan w:val="4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  <w:w w:val="97"/>
              </w:rPr>
              <w:t>Ami feszültség függőség, szerzők vagy inverz hatványfüggvény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4480" w:type="dxa"/>
            <w:vAlign w:val="bottom"/>
            <w:vMerge w:val="restart"/>
          </w:tcPr>
          <w:p>
            <w:pPr>
              <w:ind w:left="4040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w w:val="72"/>
              </w:rPr>
              <w:t>= •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  <w:w w:val="72"/>
              </w:rPr>
              <w:t>t</w:t>
            </w:r>
            <w:r>
              <w:rPr>
                <w:rFonts w:ascii="Arial Unicode MS" w:cs="Arial Unicode MS" w:eastAsia="Arial Unicode MS" w:hAnsi="Arial Unicode MS"/>
                <w:sz w:val="22"/>
                <w:szCs w:val="22"/>
                <w:b w:val="1"/>
                <w:bCs w:val="1"/>
                <w:i w:val="1"/>
                <w:iCs w:val="1"/>
                <w:color w:val="auto"/>
                <w:w w:val="72"/>
                <w:vertAlign w:val="subscript"/>
              </w:rPr>
              <w:t>U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  <w:w w:val="72"/>
              </w:rPr>
              <w:t>U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  <w:w w:val="72"/>
                <w:vertAlign w:val="subscript"/>
              </w:rPr>
              <w:t>n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32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U t</w:t>
            </w:r>
          </w:p>
        </w:tc>
        <w:tc>
          <w:tcPr>
            <w:tcW w:w="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w w:val="89"/>
              </w:rPr>
              <w:t>•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ind w:right="373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1"/>
                <w:szCs w:val="11"/>
                <w:b w:val="1"/>
                <w:bCs w:val="1"/>
                <w:color w:val="auto"/>
              </w:rPr>
              <w:t xml:space="preserve">- </w:t>
            </w: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w w:val="89"/>
              </w:rPr>
              <w:t>•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(7)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4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80" w:type="dxa"/>
            <w:vAlign w:val="bottom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  <w:w w:val="89"/>
              </w:rPr>
              <w:t>•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2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vagy exponenciális törvény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3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 xml:space="preserve">-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>α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 xml:space="preserve">(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>U U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-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0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) •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60" w:type="dxa"/>
            <w:vAlign w:val="bottom"/>
            <w:vMerge w:val="restart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i w:val="1"/>
                <w:iCs w:val="1"/>
                <w:color w:val="auto"/>
                <w:w w:val="96"/>
                <w:vertAlign w:val="superscript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b w:val="1"/>
                <w:bCs w:val="1"/>
                <w:color w:val="auto"/>
                <w:w w:val="96"/>
                <w:vertAlign w:val="superscript"/>
              </w:rPr>
              <w:t>=</w:t>
            </w: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i w:val="1"/>
                <w:iCs w:val="1"/>
                <w:color w:val="auto"/>
                <w:w w:val="96"/>
                <w:vertAlign w:val="superscript"/>
              </w:rPr>
              <w:t xml:space="preserve">  t </w:t>
            </w: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  <w:w w:val="96"/>
              </w:rPr>
              <w:t>U</w:t>
            </w: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i w:val="1"/>
                <w:iCs w:val="1"/>
                <w:color w:val="auto"/>
                <w:w w:val="96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  <w:w w:val="96"/>
                <w:vertAlign w:val="subscript"/>
              </w:rPr>
              <w:t>n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 xml:space="preserve">exp </w:t>
            </w:r>
            <w:r>
              <w:rPr>
                <w:rFonts w:ascii="Arial Unicode MS" w:cs="Arial Unicode MS" w:eastAsia="Arial Unicode MS" w:hAnsi="Arial Unicode MS"/>
                <w:sz w:val="25"/>
                <w:szCs w:val="25"/>
                <w:b w:val="1"/>
                <w:bCs w:val="1"/>
                <w:color w:val="auto"/>
                <w:vertAlign w:val="subscript"/>
              </w:rPr>
              <w:t>•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ind w:right="138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 xml:space="preserve">• </w:t>
            </w: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color w:val="auto"/>
              </w:rPr>
              <w:t>,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U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  <w:vertAlign w:val="subscript"/>
              </w:rPr>
              <w:t>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right"/>
              <w:ind w:right="1504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20"/>
        <w:spacing w:after="0" w:line="255" w:lineRule="exact"/>
        <w:tabs>
          <w:tab w:leader="none" w:pos="740" w:val="left"/>
          <w:tab w:leader="none" w:pos="748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hol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i w:val="1"/>
          <w:iCs w:val="1"/>
          <w:color w:val="auto"/>
        </w:rPr>
        <w:t xml:space="preserve">t </w:t>
      </w:r>
      <w:r>
        <w:rPr>
          <w:rFonts w:ascii="Arial Unicode MS" w:cs="Arial Unicode MS" w:eastAsia="Arial Unicode MS" w:hAnsi="Arial Unicode MS"/>
          <w:sz w:val="19"/>
          <w:szCs w:val="19"/>
          <w:b w:val="1"/>
          <w:bCs w:val="1"/>
          <w:i w:val="1"/>
          <w:iCs w:val="1"/>
          <w:color w:val="auto"/>
          <w:vertAlign w:val="subscript"/>
        </w:rPr>
        <w:t>U</w:t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i w:val="1"/>
          <w:iCs w:val="1"/>
          <w:color w:val="auto"/>
          <w:vertAlign w:val="subscript"/>
        </w:rPr>
        <w:t>n</w:t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i w:val="1"/>
          <w:iCs w:val="1"/>
          <w:color w:val="auto"/>
        </w:rPr>
        <w:t xml:space="preserve"> 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 várható élettartam a névleges feszültség vagy referencia feszültség és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tt 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  <w:vertAlign w:val="subscript"/>
        </w:rPr>
        <w:t>U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1"/>
          <w:szCs w:val="11"/>
          <w:b w:val="1"/>
          <w:bCs w:val="1"/>
          <w:i w:val="1"/>
          <w:iCs w:val="1"/>
          <w:color w:val="auto"/>
          <w:vertAlign w:val="subscript"/>
        </w:rPr>
        <w:t>n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  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feszültség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4805680</wp:posOffset>
            </wp:positionH>
            <wp:positionV relativeFrom="paragraph">
              <wp:posOffset>-153670</wp:posOffset>
            </wp:positionV>
            <wp:extent cx="64770" cy="1803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2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gyorsulás.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 w:right="240" w:firstLine="566"/>
        <w:spacing w:after="0" w:line="23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A gondos vizsgálata azt mutatja, hogy ezek a törvények nem különböznek lényegesen, ha figyelembe vett 0,7 és 1,3 között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7"/>
          <w:szCs w:val="7"/>
          <w:b w:val="1"/>
          <w:bCs w:val="1"/>
          <w:i w:val="1"/>
          <w:iCs w:val="1"/>
          <w:color w:val="auto"/>
        </w:rPr>
        <w:t>n.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Vázlatot ábra. 7,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és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α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már mindkét készlet 3,5.</w:t>
      </w:r>
    </w:p>
    <w:p>
      <w:pPr>
        <w:sectPr>
          <w:pgSz w:w="11900" w:h="16838" w:orient="portrait"/>
          <w:cols w:equalWidth="0" w:num="1">
            <w:col w:w="9620"/>
          </w:cols>
          <w:pgMar w:left="1300" w:top="881" w:right="986" w:bottom="2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51</w:t>
      </w:r>
    </w:p>
    <w:p>
      <w:pPr>
        <w:sectPr>
          <w:pgSz w:w="11900" w:h="16838" w:orient="portrait"/>
          <w:cols w:equalWidth="0" w:num="1">
            <w:col w:w="9620"/>
          </w:cols>
          <w:pgMar w:left="1300" w:top="881" w:right="986" w:bottom="223" w:gutter="0" w:footer="0" w:header="0"/>
          <w:type w:val="continuous"/>
        </w:sectPr>
      </w:pPr>
    </w:p>
    <w:bookmarkStart w:id="7" w:name="page8"/>
    <w:bookmarkEnd w:id="7"/>
    <w:p>
      <w:pPr>
        <w:ind w:left="8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R. G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enyhít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872490</wp:posOffset>
            </wp:positionH>
            <wp:positionV relativeFrom="paragraph">
              <wp:posOffset>330200</wp:posOffset>
            </wp:positionV>
            <wp:extent cx="4013835" cy="24530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5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right="300"/>
        <w:spacing w:after="0" w:line="216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Ábra. 7: Gyorsítás faktora öregedés függvényében a feszültségszint. Ezen az ábrán a fordított energia törvény és az exponenciális törvény egyaránt paraméterezni egy tényező 3,5. A Vishay adatok jobban illeszkedne egy exponenciális törvény 5 faktor [16, 17].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00" w:firstLine="566"/>
        <w:spacing w:after="0" w:line="25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Között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i w:val="1"/>
          <w:iCs w:val="1"/>
          <w:color w:val="auto"/>
        </w:rPr>
        <w:t>N /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2. és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van gyorsító faktora Megközelítőleg 5 (Epcos) 10 (inverz erő) a figyelembe vett paraméterek. Az eltérés a értékeket lehet tulajdonítani, hogy a különböző technológiák által termelt különböző gyártók. Érdekes megjegyezni, hogy a Vishay kijelző o. 6. Ref. [18] csaknem ugyanolyan gyorsuló tényezők Epcos.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4.3 páratartalom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Nedvesség aggodalomra ad okot a kondenzátorok szereplő műanyag, mert a nedvesség áthatoljon ilyen típusú anyag. Miután belül a kondenzátor, a nedvesség számos hatással jár: először is csökkenti az elektromos erejét a gáz esetében olajmentes kondenzátorok, ami a Corona fémmentesítési az elektróda, és másodszor korrodálja az elektróda. Ha nedvesség van jelen a dielektromos film, a veszteségi tényező megnő, mert a víz jelenléte dipólusok, és a szigetelési ellenállás csökken, ami a jelenlegi szivárgást és hőképződést. Az élettartam függvényében a páratartalom szintjét meg lehet becsülni az alábbi összefüggés alkalmazásával [19]: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1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vMerge w:val="restart"/>
          </w:tcPr>
          <w:p>
            <w:pPr>
              <w:ind w:left="27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>(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RH t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)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b w:val="1"/>
                <w:bCs w:val="1"/>
                <w:color w:val="auto"/>
              </w:rPr>
              <w:t>=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46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  <w:vertAlign w:val="subscript"/>
              </w:rPr>
              <w:t>H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RH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40"/>
              <w:spacing w:after="0" w:line="5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38"/>
                <w:szCs w:val="38"/>
                <w:b w:val="1"/>
                <w:bCs w:val="1"/>
                <w:color w:val="auto"/>
                <w:vertAlign w:val="subscript"/>
              </w:rPr>
              <w:t xml:space="preserve">•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>mn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(9)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right"/>
              <w:ind w:right="1521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,</w:t>
            </w: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14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RH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color w:val="auto"/>
              </w:rPr>
              <w:t>•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44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hol</w:t>
            </w:r>
          </w:p>
        </w:tc>
        <w:tc>
          <w:tcPr>
            <w:tcW w:w="360" w:type="dxa"/>
            <w:vAlign w:val="bottom"/>
          </w:tcPr>
          <w:p>
            <w:pPr>
              <w:ind w:left="1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85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85"/>
                <w:vertAlign w:val="subscript"/>
              </w:rPr>
              <w:t>H</w:t>
            </w:r>
          </w:p>
        </w:tc>
        <w:tc>
          <w:tcPr>
            <w:tcW w:w="4020" w:type="dxa"/>
            <w:vAlign w:val="bottom"/>
            <w:gridSpan w:val="3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a várható élettartam egy referencia páratartalom.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6"/>
                <w:szCs w:val="6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4.4 Kondenzátor élettartama várható számítási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right="40"/>
        <w:spacing w:after="0" w:line="256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Ahhoz, kialakítása és mérete egy kondenzátort helyesen mérnök kell a munka révén két lépésben. Először is meg kell határoznia a törvény paraméterek: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E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egy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 hőmérséklet,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 feszültség, és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m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 páratartalom. Ez alapvetően kiválasztásával érik el egy tervet a kísérlet három különböző hőmérsékleten, feszültség, és a páratartalom. A második lépés a számítás a várható élettartama függvényében az ügyfél előírásoknak. Például, egy napenergia inverter, az idő felében nincs feszültség és a hőmérséklet 20 ° C-on, 20% -a, amikor a feszültség a maximális, és a hőmérséklet eléri a 90 ° C-on, és 30% -a, amikor a feszültség 80% -a a maximális, és a hőmérséklet 60 ° C. Minden stressz állapot kell alakítani a referencia állapot értékét. A hozzájárulások összege határozza meg az élettartamot elvárás.</w:t>
      </w:r>
    </w:p>
    <w:p>
      <w:pPr>
        <w:sectPr>
          <w:pgSz w:w="11900" w:h="16838" w:orient="portrait"/>
          <w:cols w:equalWidth="0" w:num="1">
            <w:col w:w="9160"/>
          </w:cols>
          <w:pgMar w:left="1420" w:top="881" w:right="132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42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52</w:t>
      </w:r>
    </w:p>
    <w:p>
      <w:pPr>
        <w:sectPr>
          <w:pgSz w:w="11900" w:h="16838" w:orient="portrait"/>
          <w:cols w:equalWidth="0" w:num="1">
            <w:col w:w="9160"/>
          </w:cols>
          <w:pgMar w:left="1420" w:top="881" w:right="1326" w:bottom="183" w:gutter="0" w:footer="0" w:header="0"/>
          <w:type w:val="continuous"/>
        </w:sectPr>
      </w:pPr>
    </w:p>
    <w:bookmarkStart w:id="8" w:name="page9"/>
    <w:bookmarkEnd w:id="8"/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ETALLIZED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ILM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C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APACITOR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IFETIME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E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ÉRTÉKELÉS ÉS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Failure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ÓDA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2620" w:hanging="180"/>
        <w:spacing w:after="0" w:line="215" w:lineRule="exact"/>
        <w:tabs>
          <w:tab w:leader="none" w:pos="2620" w:val="left"/>
        </w:tabs>
        <w:numPr>
          <w:ilvl w:val="0"/>
          <w:numId w:val="8"/>
        </w:numP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táblázat: Élettartam várható indikatív adatokat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88265</wp:posOffset>
                </wp:positionV>
                <wp:extent cx="42868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9pt,6.95pt" to="401.45pt,6.9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100330</wp:posOffset>
                </wp:positionV>
                <wp:extent cx="428688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9pt,7.9pt" to="401.45pt,7.9pt" o:allowincell="f" strokecolor="#000000" strokeweight="0.4799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tbl>
      <w:tblPr>
        <w:tblLayout w:type="fixed"/>
        <w:tblInd w:w="1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Időtartam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color w:val="auto"/>
              </w:rPr>
              <w:t xml:space="preserve">Feszültség (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U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Hőmérséklet (°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A konvertált aging tömeg @</w:t>
            </w: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(%)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i w:val="1"/>
                <w:iCs w:val="1"/>
                <w:color w:val="auto"/>
              </w:rPr>
              <w:t>n)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C)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referencia feltételek (%)</w:t>
            </w: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50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0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20</w:t>
            </w:r>
          </w:p>
        </w:tc>
        <w:tc>
          <w:tcPr>
            <w:tcW w:w="2920" w:type="dxa"/>
            <w:vAlign w:val="bottom"/>
          </w:tcPr>
          <w:p>
            <w:pPr>
              <w:ind w:left="3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5</w:t>
            </w:r>
          </w:p>
        </w:tc>
      </w:tr>
      <w:tr>
        <w:trPr>
          <w:trHeight w:val="3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30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0.8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60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25</w:t>
            </w:r>
          </w:p>
        </w:tc>
      </w:tr>
      <w:tr>
        <w:trPr>
          <w:trHeight w:val="3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20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90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70</w:t>
            </w:r>
          </w:p>
        </w:tc>
      </w:tr>
      <w:tr>
        <w:trPr>
          <w:trHeight w:val="6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120" w:right="280" w:firstLine="567"/>
        <w:spacing w:after="0" w:line="24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A legtöbb alkalmazásban, az első lépésben a szükséges átütési vastagsága számítása a referencia-hőmérséklete az előírt feszültséget elosztó. A második lépésben a hőmérséklet-eloszlást használjuk, hogy alkalmazkodjanak a dielektromos vastagsága, hogy a hőmérséklet profil követelmény. A részben a Power cap méretezése "a helyszínen 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u w:val="single" w:color="auto"/>
          <w:color w:val="0000FF"/>
        </w:rPr>
        <w:t>http://www.garmanage.com</w:t>
      </w: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 xml:space="preserve"> [20], van egy eszköz, amely lehetővé teszi a felhasználó számára, hogy a születéskor várható élettartam tíz különböző feszültségeket.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20" w:right="60" w:firstLine="566"/>
        <w:spacing w:after="0" w:line="253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Figyelembe ismét a példa a hibaszázalék 50 FIT egy exponenciális modell, amely egy életen várható 2,1 × 10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6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órán át 40 ° C-on és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i w:val="1"/>
          <w:iCs w:val="1"/>
          <w:color w:val="auto"/>
        </w:rPr>
        <w:t>N /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2, lehet való szorzásával egyenletek. (7), (8), és a (9)</w:t>
      </w: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1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300" w:type="dxa"/>
            <w:vAlign w:val="bottom"/>
            <w:gridSpan w:val="2"/>
          </w:tcPr>
          <w:p>
            <w:pPr>
              <w:ind w:left="40"/>
              <w:spacing w:after="0" w:line="3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7"/>
                <w:szCs w:val="27"/>
                <w:b w:val="1"/>
                <w:bCs w:val="1"/>
                <w:i w:val="1"/>
                <w:iCs w:val="1"/>
                <w:color w:val="auto"/>
                <w:w w:val="84"/>
                <w:vertAlign w:val="superscript"/>
              </w:rPr>
              <w:t xml:space="preserve">E </w:t>
            </w: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  <w:w w:val="84"/>
              </w:rPr>
              <w:t>egy</w:t>
            </w:r>
          </w:p>
        </w:tc>
        <w:tc>
          <w:tcPr>
            <w:tcW w:w="540" w:type="dxa"/>
            <w:vAlign w:val="bottom"/>
            <w:gridSpan w:val="3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 1 1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 •</w:t>
            </w:r>
          </w:p>
        </w:tc>
        <w:tc>
          <w:tcPr>
            <w:tcW w:w="340" w:type="dxa"/>
            <w:vAlign w:val="bottom"/>
            <w:gridSpan w:val="3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 xml:space="preserve">•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4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35"/>
                <w:szCs w:val="35"/>
                <w:b w:val="1"/>
                <w:bCs w:val="1"/>
                <w:color w:val="auto"/>
                <w:w w:val="82"/>
                <w:vertAlign w:val="subscript"/>
              </w:rPr>
              <w:t xml:space="preserve">•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  <w:w w:val="82"/>
              </w:rPr>
              <w:t>-</w:t>
            </w:r>
            <w:r>
              <w:rPr>
                <w:rFonts w:ascii="Arial Unicode MS" w:cs="Arial Unicode MS" w:eastAsia="Arial Unicode MS" w:hAnsi="Arial Unicode MS"/>
                <w:sz w:val="35"/>
                <w:szCs w:val="35"/>
                <w:b w:val="1"/>
                <w:bCs w:val="1"/>
                <w:color w:val="auto"/>
                <w:w w:val="82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i w:val="1"/>
                <w:iCs w:val="1"/>
                <w:color w:val="auto"/>
                <w:w w:val="82"/>
              </w:rPr>
              <w:t>n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RH  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•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19"/>
                <w:szCs w:val="19"/>
                <w:b w:val="1"/>
                <w:bCs w:val="1"/>
                <w:i w:val="1"/>
                <w:iCs w:val="1"/>
                <w:color w:val="auto"/>
                <w:vertAlign w:val="superscript"/>
              </w:rPr>
              <w:t>mn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320" w:type="dxa"/>
            <w:vAlign w:val="bottom"/>
            <w:vMerge w:val="restart"/>
          </w:tcPr>
          <w:p>
            <w:pPr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 xml:space="preserve">t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(,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>TU RH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,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 xml:space="preserve"> t  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)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color w:val="auto"/>
              </w:rPr>
              <w:t>=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  <w:w w:val="70"/>
              </w:rPr>
              <w:t>TU</w:t>
            </w: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  <w:w w:val="70"/>
                <w:vertAlign w:val="subscript"/>
              </w:rPr>
              <w:t>n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color w:val="auto"/>
                <w:w w:val="76"/>
              </w:rPr>
              <w:t>,</w:t>
            </w: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  <w:w w:val="76"/>
              </w:rPr>
              <w:t>RH</w:t>
            </w: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  <w:w w:val="76"/>
                <w:vertAlign w:val="subscript"/>
              </w:rPr>
              <w:t>n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jc w:val="right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color w:val="auto"/>
              </w:rPr>
              <w:t>,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4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exp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•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ind w:lef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76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•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ind w:right="88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(10)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6"/>
                <w:szCs w:val="6"/>
                <w:b w:val="1"/>
                <w:bCs w:val="1"/>
                <w:i w:val="1"/>
                <w:iCs w:val="1"/>
                <w:color w:val="auto"/>
              </w:rPr>
              <w:t>n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•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  <w:vertAlign w:val="superscript"/>
              </w:rPr>
              <w:t xml:space="preserve">• </w:t>
            </w:r>
            <w:r>
              <w:rPr>
                <w:rFonts w:ascii="Arial Unicode MS" w:cs="Arial Unicode MS" w:eastAsia="Arial Unicode MS" w:hAnsi="Arial Unicode MS"/>
                <w:sz w:val="9"/>
                <w:szCs w:val="9"/>
                <w:b w:val="1"/>
                <w:bCs w:val="1"/>
                <w:color w:val="auto"/>
              </w:rPr>
              <w:t>•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RH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440" w:type="dxa"/>
            <w:vAlign w:val="bottom"/>
            <w:gridSpan w:val="3"/>
          </w:tcPr>
          <w:p>
            <w:pPr>
              <w:ind w:left="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k TT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7"/>
                <w:szCs w:val="7"/>
                <w:b w:val="1"/>
                <w:bCs w:val="1"/>
                <w:i w:val="1"/>
                <w:iCs w:val="1"/>
                <w:color w:val="auto"/>
              </w:rPr>
              <w:t xml:space="preserve">n  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• •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right"/>
              <w:ind w:right="88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 xml:space="preserve">n 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•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0"/>
                <w:szCs w:val="10"/>
                <w:b w:val="1"/>
                <w:bCs w:val="1"/>
                <w:color w:val="auto"/>
              </w:rPr>
              <w:t>B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•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hogy az élettartam 70 ° C-on és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lehet becsülni, hogy Megközelítőleg egyenlő 60.000 (h) vagy közel 7 év.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80" w:hanging="558"/>
        <w:spacing w:after="0" w:line="255" w:lineRule="exact"/>
        <w:tabs>
          <w:tab w:leader="none" w:pos="680" w:val="left"/>
        </w:tabs>
        <w:numPr>
          <w:ilvl w:val="0"/>
          <w:numId w:val="9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9"/>
          <w:szCs w:val="19"/>
          <w:b w:val="1"/>
          <w:bCs w:val="1"/>
          <w:color w:val="auto"/>
        </w:rPr>
        <w:t>Műszaki végzettség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120"/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A következő dolog, hogy értékelje a megbízhatósági szinten, hogy működik, egy adott számú kondenzátorok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0" w:right="60"/>
        <w:spacing w:after="0" w:line="249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k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egy batch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N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kondenzátorok teljesítik a meghatározott feltétel (például egy részét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p &gt;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90% -a fennmaradó kapacitás után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100.000 óra működés).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120" w:right="560" w:firstLine="566"/>
        <w:spacing w:after="0" w:line="24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A megbízhatósági szint adja a binomiális törvény (nem / nem sikerült), és javítja a számos kondenzátorok, amelyek átmennek a teszteket. A fordított kérdés: hány darabot kell vizsgálni, hogy egy adott megbízhatósági szinten? Az egyszerű kapcsolatban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3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180" w:type="dxa"/>
            <w:vAlign w:val="bottom"/>
            <w:gridSpan w:val="3"/>
          </w:tcPr>
          <w:p>
            <w:pPr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4"/>
                <w:szCs w:val="24"/>
                <w:b w:val="1"/>
                <w:bCs w:val="1"/>
                <w:color w:val="auto"/>
              </w:rPr>
              <w:t xml:space="preserve">•• = </w:t>
            </w:r>
            <w:r>
              <w:rPr>
                <w:rFonts w:ascii="Arial Unicode MS" w:cs="Arial Unicode MS" w:eastAsia="Arial Unicode MS" w:hAnsi="Arial Unicode MS"/>
                <w:sz w:val="17"/>
                <w:szCs w:val="17"/>
                <w:b w:val="1"/>
                <w:bCs w:val="1"/>
                <w:color w:val="auto"/>
              </w:rPr>
              <w:t>log (1-CL)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6"/>
                <w:szCs w:val="16"/>
                <w:b w:val="1"/>
                <w:bCs w:val="1"/>
                <w:color w:val="auto"/>
              </w:rPr>
              <w:t>(11)</w:t>
            </w:r>
          </w:p>
        </w:tc>
      </w:tr>
      <w:tr>
        <w:trPr>
          <w:trHeight w:val="20"/>
        </w:trPr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</w:tcPr>
          <w:p>
            <w:pPr>
              <w:ind w:left="3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8"/>
                <w:szCs w:val="18"/>
                <w:b w:val="1"/>
                <w:bCs w:val="1"/>
                <w:color w:val="auto"/>
              </w:rPr>
              <w:t>log (••)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120" w:right="80"/>
        <w:spacing w:after="0" w:line="24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hozamok a darabszámot, ami kell vizsgálni meghibásodás nélkül, hogy megbízhatósági szint CL. Például, egy olyan gyorsított vizsgálati 70 ° C-on és 1,4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i w:val="1"/>
          <w:iCs w:val="1"/>
          <w:color w:val="auto"/>
        </w:rPr>
        <w:t>N,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n =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16 darab kell vizsgálni, és egyik sem kell sikertelen során egy 2000 H tesztet, hogy egy megbízhatósági szint Cl = 80%; más szóval, 80% -a az összes kondenzátor lesz a fennmaradó kapacitás nagyobb, mint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p =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90% ilyen körülmények között. Figyelembe véve a gyorsulás tényezők, a vizsgálat fogja megállapítani, hogy 80% az összes kondenzátor lesz több, mint 90% -át a kapacitás után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60.000 h üzemelésre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U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8"/>
          <w:szCs w:val="8"/>
          <w:b w:val="1"/>
          <w:bCs w:val="1"/>
          <w:i w:val="1"/>
          <w:iCs w:val="1"/>
          <w:color w:val="auto"/>
        </w:rPr>
        <w:t>n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és 40 ° C-on.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120" w:firstLine="566"/>
        <w:spacing w:after="0" w:line="25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Annak érdekében, hogy bemutassuk az új technológia az olaj-impregnált fém fólia az elektromos tér eddig 200 V /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 xml:space="preserve"> m, a cég Montena Components (ma Maxwell Technologies), együttműködésben a francia vasút társaság (SNCF), futott összehasonlító gyorsított vizsgálatok során az 1990-es mellett a vizsgálatok által meghatározott IEC 61071 szabvány [21]. A TGV gyorsvasút bemeneti szűrő kondenzátorok névleges feszültsége 1800 V dc, kapacitás 8 mF. A kért élettartama 20 év kapacitással, ± 10%. A bank épül négy 2 mF kondenzátort.</w:t>
      </w:r>
    </w:p>
    <w:p>
      <w:pPr>
        <w:sectPr>
          <w:pgSz w:w="11900" w:h="16838" w:orient="portrait"/>
          <w:cols w:equalWidth="0" w:num="1">
            <w:col w:w="9380"/>
          </w:cols>
          <w:pgMar w:left="1300" w:top="881" w:right="1226" w:bottom="2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53</w:t>
      </w:r>
    </w:p>
    <w:p>
      <w:pPr>
        <w:sectPr>
          <w:pgSz w:w="11900" w:h="16838" w:orient="portrait"/>
          <w:cols w:equalWidth="0" w:num="1">
            <w:col w:w="9380"/>
          </w:cols>
          <w:pgMar w:left="1300" w:top="881" w:right="1226" w:bottom="223" w:gutter="0" w:footer="0" w:header="0"/>
          <w:type w:val="continuous"/>
        </w:sectPr>
      </w:pPr>
    </w:p>
    <w:bookmarkStart w:id="9" w:name="page10"/>
    <w:bookmarkEnd w:id="9"/>
    <w:p>
      <w:pPr>
        <w:ind w:left="81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R. G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enyhít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firstLine="566"/>
        <w:spacing w:after="0" w:line="26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A térfogata és tömege a kondenzátorok fordított arányban változik a tér az elektromos mező. Az első generációs működtettünk 150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m, és mindegyik kondenzátor volt tömege 44 kg. A TGV normál kereskedelmi használatra, a bank 200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 (négy kondenzátorok 22 kg film vastagsága 9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m) volt szerelve egy olyan traktorra, és egy bank 240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 (négy kondenzátorok tömegű 17 kg fólia vastagsága 7,4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m) volt szerelve, a másik oldalon a vonat. A feszültség és az éghajlati viszonyok voltak tehát azonos a két elemet.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249555</wp:posOffset>
            </wp:positionV>
            <wp:extent cx="1865630" cy="24853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 w:line="16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 xml:space="preserve">Ábra. 8: A 2 mF 1800 V-egyenáramú, kapacitív bemeneti szűrők a TGV alkalmazás. A méretek megfelelnek az 150, 200, és 240 V /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 xml:space="preserve"> m a dielektrikum.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right="140" w:firstLine="566"/>
        <w:spacing w:after="0" w:line="256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Ezzel párhuzamosan a szántóföldi kísérletben egy 2 mF kondenzátort, készült 9 μ m vastagságú film, tesztelték egy kemencében 70 ° C-on a gyártó laboratóriumában 2500 V dc, feszültséget, amely megfelel az elektromos mező a 280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m. A kondenzátorok a TGV már a vizsgálat előtt mért és 6 hónap elteltével, egy, kettő, és négy év, a kondenzátorok a laboratóriumban már hetente mérjük elején és havi végén a tesztet.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430530</wp:posOffset>
            </wp:positionH>
            <wp:positionV relativeFrom="paragraph">
              <wp:posOffset>244475</wp:posOffset>
            </wp:positionV>
            <wp:extent cx="4882515" cy="31565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15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 w:line="16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Ábra. 9: Kapacitás elvesztése, mint az idő függvényében a 280 V / um laboratóriumi vizsgálati 70 ° C-on és TGV in situ tesztek 200 és 240 V / mm-es film [22].</w:t>
      </w:r>
    </w:p>
    <w:p>
      <w:pPr>
        <w:sectPr>
          <w:pgSz w:w="11900" w:h="16838" w:orient="portrait"/>
          <w:cols w:equalWidth="0" w:num="1">
            <w:col w:w="9100"/>
          </w:cols>
          <w:pgMar w:left="1420" w:top="881" w:right="138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422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54</w:t>
      </w:r>
    </w:p>
    <w:p>
      <w:pPr>
        <w:sectPr>
          <w:pgSz w:w="11900" w:h="16838" w:orient="portrait"/>
          <w:cols w:equalWidth="0" w:num="1">
            <w:col w:w="9100"/>
          </w:cols>
          <w:pgMar w:left="1420" w:top="881" w:right="1386" w:bottom="183" w:gutter="0" w:footer="0" w:header="0"/>
          <w:type w:val="continuous"/>
        </w:sectPr>
      </w:pPr>
    </w:p>
    <w:bookmarkStart w:id="10" w:name="page11"/>
    <w:bookmarkEnd w:id="10"/>
    <w:p>
      <w:pPr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ETALLIZED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ILM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C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APACITOR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L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IFETIME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E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ÉRTÉKELÉS ÉS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F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Failure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M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ÓDA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A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NALYSIS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20" w:right="400"/>
        <w:spacing w:after="0" w:line="25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Az elején a stressz alkalmazása enyhe kapacitás növekedés figyelhető meg, mert az elektrosztatikus tömörítés a film. Érdemes azt is megjegyezni, hogy négy év alatt a két kondenzátorakkumulátorok szerelve a TGV kereskedelmi használatra még a kompressziós ütem.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120" w:right="500" w:firstLine="566"/>
        <w:spacing w:after="0" w:line="24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A kapacitás veszteség egy fémezett fólia kondenzátor lehet szerelni egy Weibull törvény. Abban az esetben, ha az elektromos mező 280 V /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m, a hőmérsékletet 70 ° C-on, egy jó illeszkedést kapunk 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i w:val="1"/>
          <w:iCs w:val="1"/>
          <w:color w:val="auto"/>
        </w:rPr>
        <w:t>p =</w:t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 xml:space="preserve"> 1,2 és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 w:right="340" w:firstLine="2"/>
        <w:spacing w:after="0" w:line="263" w:lineRule="exact"/>
        <w:tabs>
          <w:tab w:leader="none" w:pos="233" w:val="left"/>
        </w:tabs>
        <w:numPr>
          <w:ilvl w:val="0"/>
          <w:numId w:val="10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</w:pP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0 =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1 / 120.000 h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- 1.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A 10% kapacitás vesztesége elérte után 20.000 órán át 70 ° C-on és 280 V /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m; Cser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i w:val="1"/>
          <w:iCs w:val="1"/>
          <w:color w:val="auto"/>
        </w:rPr>
        <w:t>δ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kisebb volt,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mint 70E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- 4,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mivel ez volt 30E </w:t>
      </w:r>
      <w:r>
        <w:rPr>
          <w:rFonts w:ascii="Arial Unicode MS" w:cs="Arial Unicode MS" w:eastAsia="Arial Unicode MS" w:hAnsi="Arial Unicode MS"/>
          <w:sz w:val="9"/>
          <w:szCs w:val="9"/>
          <w:b w:val="1"/>
          <w:bCs w:val="1"/>
          <w:color w:val="auto"/>
        </w:rPr>
        <w:t>- 4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az elején.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120" w:right="460" w:firstLine="566"/>
        <w:spacing w:after="0" w:line="260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Egy nagyon durva becslés átlagos hőmérséklete 35 ° C-on belül a TGV traktor, egy hőmérséklet-gyorsulási tényező a 10 35 és 70 ° C-on és egy feszültség gyorsulási tényező a 10 200 és 280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m, az egyik lehet várható élettartama 2.000.000 h eléri a 10% kapacitás veszteség 35 ° C-on és 200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m. Gyorsulással tényezője közötti 3 240 és 280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m, a várható élettartam a 240 V /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μ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m lenne „csak” 600.000 óra.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680" w:hanging="558"/>
        <w:spacing w:after="0" w:line="228" w:lineRule="exact"/>
        <w:tabs>
          <w:tab w:leader="none" w:pos="680" w:val="left"/>
        </w:tabs>
        <w:numPr>
          <w:ilvl w:val="0"/>
          <w:numId w:val="11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Következtetés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20" w:right="660" w:firstLine="1"/>
        <w:spacing w:after="0" w:line="254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Kondenzátorok gyakran képviselik egy kis része a költségek egy telepítést. A hiba azonban lehet hatalmas fizikai és pénzügyi következményeit. Egy tipikus példa egy kis kondenzátor költség 1p sorba az elektronikus vezérlő a fagyasztó ami szinte az összes ilyen eszközt kelljen selejtezték amikor nem. Amikor kondenzátorok kell használni a rendkívül megbízható alkalmazások azokat meg kell vizsgálni előre.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20"/>
        <w:spacing w:after="0" w:line="25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9"/>
          <w:szCs w:val="19"/>
          <w:b w:val="1"/>
          <w:bCs w:val="1"/>
          <w:color w:val="auto"/>
        </w:rPr>
        <w:t>Irodalom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380" w:hanging="62"/>
        <w:spacing w:after="0" w:line="285" w:lineRule="exact"/>
        <w:tabs>
          <w:tab w:leader="none" w:pos="554" w:val="left"/>
        </w:tabs>
        <w:numPr>
          <w:ilvl w:val="0"/>
          <w:numId w:val="12"/>
        </w:numP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DG Shaw, SW Cichanowski és A. Yializis,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IEEE Trans. Elektr. Insul.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16 ( 1981) 399. [2] CW Reed és SW Cichanowski,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IEEE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Trans. Dielect. Elektr. Insul.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1 (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1994) 904. [3] M. Makdessi, A. Sari, és P. Venet,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Chem. Eng. Trans.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33 (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2013) 1105. [4] A.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Gadoum, B. Gosse, és a JP Gosse,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IEEE Trans. Dielect. Elektr. Insul.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2 ( 1995) 1075. [5] H. Wang és F. Blaabjerg, megbízhatósága kondenzátorok a DC-alkalmazások-áttekintést, Proc. IEEE Energy Convers. Cong. és Expo. (2013), p.</w:t>
      </w:r>
    </w:p>
    <w:p>
      <w:pPr>
        <w:spacing w:after="0" w:line="71" w:lineRule="exact"/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</w:p>
    <w:p>
      <w:pPr>
        <w:ind w:left="380" w:right="220"/>
        <w:spacing w:after="0" w:line="289" w:lineRule="exact"/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1866. [6] A. Yializis, SW Cichanowski, és a DG Shaw, Elektróda korrózió lebomlás fémezett polipropilén kondenzátorok, IEEE Int. Symp. A Elektromos szigetelés, Boston, MA (1980). [7] DF Taylor,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IEEE Trans. Elektr. Insul.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19 ( 1984) 288. [8] C. Brinkmann,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J. Mater. Sci.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21 ( 1986) 1615. [9] JW Burgess, RT Bilson, és az NF Jackson,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Electrocomp. Sci. Tech.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2 ( 1975) 201. [10] Y. Chen, H. Li, F. Lin, F. Lv, Z. Li és M. Zhang, 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i w:val="1"/>
          <w:iCs w:val="1"/>
          <w:color w:val="auto"/>
        </w:rPr>
        <w:t>IEEE Trans. Dielect. Elektr. Insul.</w:t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 xml:space="preserve"> 18 ( 2011)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8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1301.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00"/>
        <w:spacing w:after="0" w:line="242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[11] Az élet Data Analysis (Weibull analízis) és felgyorsított élettartam-teszten Analysis,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8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http://www.weibull.com, utolsó hozzáférés 2014. szeptember [12] H. Li, Y. Chen, F. Lin, B. Peng, F. Lv, M. Zhang, és Z.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20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Li,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IEEE Trans. Dielect. Elektr. Insul.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0"/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18 ( 2011) 2089.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200"/>
        <w:spacing w:after="0" w:line="242" w:lineRule="exact"/>
        <w:tabs>
          <w:tab w:leader="none" w:pos="1680" w:val="left"/>
          <w:tab w:leader="none" w:pos="2840" w:val="left"/>
          <w:tab w:leader="none" w:pos="3800" w:val="left"/>
          <w:tab w:leader="none" w:pos="5320" w:val="left"/>
          <w:tab w:leader="none" w:pos="6540" w:val="left"/>
          <w:tab w:leader="none" w:pos="770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[13] TDK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Epcos,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Film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kondenzátorok,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minőség,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kiadás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Lehet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2009-ben,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8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http://www.epcos.de/blob/187718/download/4/pdf-quality.pdf, utolsó hozzáférés szeptember 2014. [14] P. Cygan, B.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20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Krishnakumar, és JR Laghari,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IEEE Trans. Elektr. Insul.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24 ( 1989) 619. [15] A. Schneuwly, P. Gröning, L. Schlapbach, P.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Brüesch, MW Carlen, és R. Gallay,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Mater. Sci.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68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Eng.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B54 (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1998) 182.</w:t>
      </w:r>
    </w:p>
    <w:p>
      <w:pPr>
        <w:sectPr>
          <w:pgSz w:w="11900" w:h="16838" w:orient="portrait"/>
          <w:cols w:equalWidth="0" w:num="1">
            <w:col w:w="9680"/>
          </w:cols>
          <w:pgMar w:left="1300" w:top="881" w:right="926" w:bottom="2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 w:line="17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55</w:t>
      </w:r>
    </w:p>
    <w:p>
      <w:pPr>
        <w:sectPr>
          <w:pgSz w:w="11900" w:h="16838" w:orient="portrait"/>
          <w:cols w:equalWidth="0" w:num="1">
            <w:col w:w="9680"/>
          </w:cols>
          <w:pgMar w:left="1300" w:top="881" w:right="926" w:bottom="223" w:gutter="0" w:footer="0" w:header="0"/>
          <w:type w:val="continuous"/>
        </w:sectPr>
      </w:pPr>
    </w:p>
    <w:bookmarkStart w:id="11" w:name="page12"/>
    <w:bookmarkEnd w:id="11"/>
    <w:p>
      <w:pPr>
        <w:ind w:left="810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R. G </w:t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enyhít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0"/>
        <w:spacing w:after="0" w:line="242" w:lineRule="exact"/>
        <w:tabs>
          <w:tab w:leader="none" w:pos="4660" w:val="left"/>
          <w:tab w:leader="none" w:pos="5680" w:val="left"/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[16] TDK Epcos, film kondenzátorok, általános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műszaki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információ,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felülvizsgálata, 2009. május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40"/>
        <w:spacing w:after="0" w:line="215" w:lineRule="exact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http://www.epcos.de/blob/187688/download/4/pdf-generaltechnicalinformation.pdf,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3"/>
          <w:szCs w:val="13"/>
          <w:b w:val="1"/>
          <w:bCs w:val="1"/>
          <w:color w:val="auto"/>
        </w:rPr>
        <w:t>utolsó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40"/>
        <w:spacing w:after="0" w:line="188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igénybe vett 2014. szeptember [17] Vishay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 w:line="242" w:lineRule="exact"/>
        <w:tabs>
          <w:tab w:leader="none" w:pos="2800" w:val="left"/>
          <w:tab w:leader="none" w:pos="6420" w:val="left"/>
          <w:tab w:leader="none" w:pos="854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4"/>
          <w:szCs w:val="14"/>
          <w:b w:val="1"/>
          <w:bCs w:val="1"/>
          <w:color w:val="auto"/>
        </w:rPr>
        <w:t>ROEDERSTEIN,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specifikáció MKP1848 DC-link,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felülvizsgálat október 2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2"/>
          <w:szCs w:val="12"/>
          <w:b w:val="1"/>
          <w:bCs w:val="1"/>
          <w:color w:val="auto"/>
        </w:rPr>
        <w:t>2012-ben,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540"/>
        <w:spacing w:after="0" w:line="20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http://www.vishay.com/docs/28164/mkp1848dcl.pdf, utolsó hozzáférés szeptember 2014. [18] Vishay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"/>
        <w:spacing w:after="0" w:line="242" w:lineRule="exact"/>
        <w:tabs>
          <w:tab w:leader="none" w:pos="3840" w:val="left"/>
          <w:tab w:leader="none" w:pos="4920" w:val="left"/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ROEDERSTEIN, Általános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7"/>
          <w:szCs w:val="17"/>
          <w:b w:val="1"/>
          <w:bCs w:val="1"/>
          <w:color w:val="auto"/>
        </w:rPr>
        <w:t>műszaki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8"/>
          <w:szCs w:val="18"/>
          <w:b w:val="1"/>
          <w:bCs w:val="1"/>
          <w:color w:val="auto"/>
        </w:rPr>
        <w:t>információ,</w:t>
      </w:r>
      <w:r>
        <w:rPr>
          <w:sz w:val="20"/>
          <w:szCs w:val="20"/>
          <w:color w:val="auto"/>
        </w:rPr>
        <w:tab/>
      </w:r>
      <w:r>
        <w:rPr>
          <w:rFonts w:ascii="Arial Unicode MS" w:cs="Arial Unicode MS" w:eastAsia="Arial Unicode MS" w:hAnsi="Arial Unicode MS"/>
          <w:sz w:val="15"/>
          <w:szCs w:val="15"/>
          <w:b w:val="1"/>
          <w:bCs w:val="1"/>
          <w:color w:val="auto"/>
        </w:rPr>
        <w:t>felülvizsgálata június 13, 2012,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60" w:firstLine="384"/>
        <w:spacing w:after="0" w:line="281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http://www.vishay.com/docs/26033/gentechinfofilm.pdf, utolsó hozzáférés szeptember 2014. [19] Ö. Hallberg és DS Peck,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>Min.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Reliab. Eng. Int.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7 (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1991) 169. [20] http://www.garmanage.com, utolsó hozzáférés 2014. szeptember [21] IEC 61071 ed 1,0,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kondenzátorok erősáramú elektronika, első kiadás 2007-01-29. [22] D. Clement és P. Arnaudo, Montena Components prezentáció, Der Weg zur Business Excellence für Leistungskondensatoren, EPE 2001 Conf., Graz. (2001).</w:t>
      </w:r>
    </w:p>
    <w:p>
      <w:pPr>
        <w:sectPr>
          <w:pgSz w:w="11900" w:h="16838" w:orient="portrait"/>
          <w:cols w:equalWidth="0" w:num="1">
            <w:col w:w="9420"/>
          </w:cols>
          <w:pgMar w:left="1440" w:top="881" w:right="1046" w:bottom="1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4200"/>
        <w:spacing w:after="0" w:line="215" w:lineRule="exact"/>
        <w:rPr>
          <w:sz w:val="20"/>
          <w:szCs w:val="20"/>
          <w:color w:val="auto"/>
        </w:rPr>
      </w:pPr>
      <w:r>
        <w:rPr>
          <w:rFonts w:ascii="Arial Unicode MS" w:cs="Arial Unicode MS" w:eastAsia="Arial Unicode MS" w:hAnsi="Arial Unicode MS"/>
          <w:sz w:val="16"/>
          <w:szCs w:val="16"/>
          <w:b w:val="1"/>
          <w:bCs w:val="1"/>
          <w:color w:val="auto"/>
        </w:rPr>
        <w:t>56</w:t>
      </w:r>
    </w:p>
    <w:sectPr>
      <w:pgSz w:w="11900" w:h="16838" w:orient="portrait"/>
      <w:cols w:equalWidth="0" w:num="1">
        <w:col w:w="9420"/>
      </w:cols>
      <w:pgMar w:left="1440" w:top="881" w:right="1046" w:bottom="18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EE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1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2"/>
      <w:numFmt w:val="bullet"/>
      <w:start w:val="1"/>
    </w:lvl>
  </w:abstractNum>
  <w:abstractNum w:abstractNumId="3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515F007C"/>
    <w:multiLevelType w:val="hybridMultilevel"/>
    <w:lvl w:ilvl="0">
      <w:lvlJc w:val="left"/>
      <w:lvlText w:val="3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(%)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4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216231B"/>
    <w:multiLevelType w:val="hybridMultilevel"/>
    <w:lvl w:ilvl="0">
      <w:lvlJc w:val="left"/>
      <w:lvlText w:val="5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λ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6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[%1]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8" Type="http://schemas.openxmlformats.org/officeDocument/2006/relationships/hyperlink" Target="http://dx.doi.org/10.5170/CERN-2015-003.4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2020-01-10T11:23:37Z</dcterms:created>
  <dcterms:modified xsi:type="dcterms:W3CDTF">2020-01-10T11:23:37Z</dcterms:modified>
</cp:coreProperties>
</file>