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BE" w:rsidRPr="00C626BE" w:rsidRDefault="00C626BE" w:rsidP="00C626BE">
      <w:pPr>
        <w:shd w:val="clear" w:color="auto" w:fill="191919"/>
        <w:spacing w:before="100" w:beforeAutospacing="1" w:after="100" w:afterAutospacing="1"/>
        <w:ind w:left="0" w:firstLine="0"/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</w:pPr>
      <w:r w:rsidRPr="00C626BE">
        <w:rPr>
          <w:rFonts w:ascii="Helvetica" w:eastAsia="Times New Roman" w:hAnsi="Helvetica" w:cs="Helvetica"/>
          <w:color w:val="DDDCDC"/>
          <w:sz w:val="9"/>
          <w:szCs w:val="9"/>
          <w:lang w:eastAsia="hu-HU"/>
        </w:rPr>
        <w:t xml:space="preserve">Az STS Digital céget a vérbeli hifi-rajongókon kívül kevesen ismerik, ezért bemutatjuk Európa egyik legnagyobb felvevő stúdióját, akik munkásságukkal jelentős hírnevet szereztek maguknak az évek során. Szlogenjük: „Tartalom </w:t>
      </w: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és filozófia a lemezen” ami mögött hihetetlen minőségű munka áll.</w:t>
      </w: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br/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Incredible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music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&amp;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recordings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. Az STS Digital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Recording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Studio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több mint húsz évvel ezelőtt kezdte pályafutását, azzal a céllal, hogy már a lehallgató rendszerünk legelején a tökéletes felvételek viszonyítási alapot nyújtsanak a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High-End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készülékkomponensek megítéléséhez. Ez teljesen más felfogás a „tucat”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-stúdiók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ellenében. Az eltökéltségnek eredménye rövid időn belül meg is látszott.</w:t>
      </w:r>
    </w:p>
    <w:p w:rsidR="00C626BE" w:rsidRPr="00C626BE" w:rsidRDefault="00C626BE" w:rsidP="00C626BE">
      <w:pPr>
        <w:shd w:val="clear" w:color="auto" w:fill="191919"/>
        <w:spacing w:before="100" w:beforeAutospacing="1" w:after="100" w:afterAutospacing="1"/>
        <w:ind w:left="0" w:firstLine="0"/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</w:pP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A cégvezető, Fritz de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With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egyszerre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audiofil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zenerajongó és hangmérnök. A 70-es években megszerzett tudásanyagát analóg felvételek készítésének tapasztalataival szerezte, ahogyan ezt sokan tették abban az időben, amikor a digitális hangrögzítés még az álmokban sem volt.</w:t>
      </w:r>
    </w:p>
    <w:p w:rsidR="00C626BE" w:rsidRPr="00C626BE" w:rsidRDefault="00C626BE" w:rsidP="00C626BE">
      <w:pPr>
        <w:shd w:val="clear" w:color="auto" w:fill="191919"/>
        <w:spacing w:beforeAutospacing="1" w:after="0" w:afterAutospacing="1"/>
        <w:ind w:left="0" w:firstLine="0"/>
        <w:rPr>
          <w:rFonts w:ascii="Helvetica" w:eastAsia="Times New Roman" w:hAnsi="Helvetica" w:cs="Helvetica"/>
          <w:color w:val="DDDCDC"/>
          <w:sz w:val="9"/>
          <w:szCs w:val="9"/>
          <w:lang w:eastAsia="hu-HU"/>
        </w:rPr>
      </w:pPr>
      <w:r>
        <w:rPr>
          <w:rFonts w:ascii="inherit" w:eastAsia="Times New Roman" w:hAnsi="inherit" w:cs="Helvetica"/>
          <w:noProof/>
          <w:color w:val="FFFFFF"/>
          <w:sz w:val="9"/>
          <w:szCs w:val="9"/>
          <w:bdr w:val="none" w:sz="0" w:space="0" w:color="auto" w:frame="1"/>
          <w:lang w:eastAsia="hu-HU"/>
        </w:rPr>
        <w:drawing>
          <wp:inline distT="0" distB="0" distL="0" distR="0">
            <wp:extent cx="4267200" cy="3202940"/>
            <wp:effectExtent l="19050" t="0" r="0" b="0"/>
            <wp:docPr id="1" name="Kép 1" descr="STS-Fritz-studio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S-Fritz-studio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BE" w:rsidRPr="00C626BE" w:rsidRDefault="00C626BE" w:rsidP="00C626BE">
      <w:pPr>
        <w:shd w:val="clear" w:color="auto" w:fill="191919"/>
        <w:spacing w:before="100" w:beforeAutospacing="1" w:after="100" w:afterAutospacing="1"/>
        <w:ind w:left="0" w:firstLine="0"/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</w:pP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Tele szenvedélyes energiával alapított egy társaságot és létrehozta a világ egyik legfejlettebb, exkluzív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High-End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audiofelvételek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készítésére alkalmas stúdióját. A Hollandiában található STS Digital Európa vezető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audiofil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stúdiója, ahol kiváló minőségű lemez felvételek és különféle hifi-gyártók, mint például a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Marantz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és a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Siltech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tesztlemezei is készülnek, illetve máshol felvett anyagok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audiofil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minőségűre való alakítására is lehetőség van. A cég portfóliója CD, SACD és LP lemezekből áll a választék a nagy érdeklődés folytán folyamatosan nő.</w:t>
      </w:r>
    </w:p>
    <w:p w:rsidR="00C626BE" w:rsidRPr="00C626BE" w:rsidRDefault="00C626BE" w:rsidP="00C626BE">
      <w:pPr>
        <w:shd w:val="clear" w:color="auto" w:fill="191919"/>
        <w:spacing w:before="100" w:beforeAutospacing="1" w:after="100" w:afterAutospacing="1"/>
        <w:ind w:left="0" w:firstLine="0"/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</w:pP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 cég aktuális kínálatában igényes jazz-muzsika, klasszikus zene és több különleges tesztprogram válogatás található, melyekkel egyrészt mindenki letesztelheti, mit tud a rendszere, másrészt valóban kitűnő hanganyagokkal kényeztetheti magát.</w:t>
      </w: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br/>
        <w:t xml:space="preserve">Mára kitűnő felvételek sorát jelentették meg, olyanokat, mint a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Dynamic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Experience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, a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Celebrate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the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art &amp;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spirit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of Music vagy jeles kábel manufaktúra megrendelésére készült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Siltech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Test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Demo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CD. Segítette népszerűvé válásukat több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audiophil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és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High-End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kiállítás, aminek bemutatóanyaga lett a The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Abslotue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Sound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Reference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című CD-lemezük és több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LP-n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megjelent hanganyag.</w:t>
      </w:r>
    </w:p>
    <w:p w:rsidR="00C626BE" w:rsidRPr="00C626BE" w:rsidRDefault="00C626BE" w:rsidP="00C626BE">
      <w:pPr>
        <w:shd w:val="clear" w:color="auto" w:fill="191919"/>
        <w:spacing w:beforeAutospacing="1" w:after="0" w:afterAutospacing="1"/>
        <w:ind w:left="0" w:firstLine="0"/>
        <w:rPr>
          <w:rFonts w:ascii="Helvetica" w:eastAsia="Times New Roman" w:hAnsi="Helvetica" w:cs="Helvetica"/>
          <w:color w:val="DDDCDC"/>
          <w:sz w:val="9"/>
          <w:szCs w:val="9"/>
          <w:lang w:eastAsia="hu-HU"/>
        </w:rPr>
      </w:pPr>
      <w:r>
        <w:rPr>
          <w:rFonts w:ascii="inherit" w:eastAsia="Times New Roman" w:hAnsi="inherit" w:cs="Helvetica"/>
          <w:noProof/>
          <w:color w:val="FFFFFF"/>
          <w:sz w:val="9"/>
          <w:szCs w:val="9"/>
          <w:bdr w:val="none" w:sz="0" w:space="0" w:color="auto" w:frame="1"/>
          <w:lang w:eastAsia="hu-HU"/>
        </w:rPr>
        <w:lastRenderedPageBreak/>
        <w:drawing>
          <wp:inline distT="0" distB="0" distL="0" distR="0">
            <wp:extent cx="5428615" cy="5370195"/>
            <wp:effectExtent l="19050" t="0" r="635" b="0"/>
            <wp:docPr id="2" name="Kép 2" descr="436e51_xl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6e51_xl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537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BE" w:rsidRPr="00C626BE" w:rsidRDefault="00C626BE" w:rsidP="00C626BE">
      <w:pPr>
        <w:shd w:val="clear" w:color="auto" w:fill="191919"/>
        <w:spacing w:before="100" w:beforeAutospacing="1" w:after="100" w:afterAutospacing="1"/>
        <w:ind w:left="0" w:firstLine="0"/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</w:pPr>
      <w:r w:rsidRPr="00C626BE">
        <w:rPr>
          <w:rFonts w:ascii="Helvetica" w:eastAsia="Times New Roman" w:hAnsi="Helvetica" w:cs="Helvetica"/>
          <w:color w:val="DDDCDC"/>
          <w:sz w:val="9"/>
          <w:szCs w:val="9"/>
          <w:lang w:eastAsia="hu-HU"/>
        </w:rPr>
        <w:t xml:space="preserve">A </w:t>
      </w: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cég filozófiája és a motiváció szerint az első ok a zene szeretete, az a csodálatos mód az érzések kifejezésére és a kommunikációra, ami csak erre érzékeny emberekkel lehetséges. Megfigyelni, rögzíteni a hangszerek </w:t>
      </w:r>
      <w:proofErr w:type="gram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hangját</w:t>
      </w:r>
      <w:proofErr w:type="gram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ahogyan kimunkált akusztikus környezetben szólnak felemelő élmény. Sajnos a legtöbb CD és LP eredeti felvétele rosszul rögzített, zord hang árad belőlük az akusztikus környezet megjelenítése nélkül. Ezért fontos birtokolni néhány igazán jó </w:t>
      </w:r>
      <w:proofErr w:type="gram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felvételt</w:t>
      </w:r>
      <w:proofErr w:type="gram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ami kapaszkodó jelleggel, összehasonlítási alapként segít szelektálni a többi lemezeinket.</w:t>
      </w:r>
    </w:p>
    <w:p w:rsidR="00C626BE" w:rsidRPr="00C626BE" w:rsidRDefault="00C626BE" w:rsidP="00C626BE">
      <w:pPr>
        <w:shd w:val="clear" w:color="auto" w:fill="191919"/>
        <w:spacing w:before="100" w:beforeAutospacing="1" w:after="100" w:afterAutospacing="1"/>
        <w:ind w:left="0" w:firstLine="0"/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</w:pP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A kiadott sorozatokban minden hangszer az igényeinek megfelelő térben szólal meg, így az eredeti csakis rá jellemző hangot veszik fel a különböző, kiváló technikai eszköz segítségével. A szaxofon úgy hangzik, mint egy szaxofon és nem olyan, mint a klarinét, a zongora úgy szól, úgy zeng, mint egy zongora és nem egy pianínó vagy puszta billentyűzet. Megkülönböztetőn fontos, hogy a zenét egy jól hangzó koncertteremben vagy templomban rögzítsék, a térből szóljon és nem egy száraz stúdióban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közelmikrofonozással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, szinte beledugva fülünket a hangszerbe.</w:t>
      </w: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br/>
        <w:t xml:space="preserve">Először meg kell hallgatni magát a helyszínt, a koncerttermet vagy a templomot, ahol a zenekar játszani fog. Majd összehasonlítva ugyanazt a felvételi helységben, hogy a hang, amit először hallottunk a lehető legtermészetesebb legyen. Ez a szokás nem </w:t>
      </w: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lastRenderedPageBreak/>
        <w:t>zárja ki a mikrofonok elhelyezésével való megrögzött törődést, néha sziszifuszi munkát. Sok erőfeszítést kel tenni minden lépésben, ellenőrizve az eredményt összehasonlítva az eredetit a felvétellel.</w:t>
      </w: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br/>
        <w:t xml:space="preserve">A hagyományos felvételi cégek ezeket nem mindig teszik meg. Csak a legjobb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audio-gyártók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pénzügyi támogatását élvezve lehet ezt megtenni. A szponzorok: a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Grandinote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, a C.E</w:t>
      </w:r>
      <w:proofErr w:type="gram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.C.</w:t>
      </w:r>
      <w:proofErr w:type="gram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, Dr.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Feickert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Analog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,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Siltech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, Van den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Hul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, Metrum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Acoustics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, és az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Audioquest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mind a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High-End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élvonalbeli gyártói.</w:t>
      </w:r>
    </w:p>
    <w:p w:rsidR="00C626BE" w:rsidRPr="00C626BE" w:rsidRDefault="00C626BE" w:rsidP="00C626BE">
      <w:pPr>
        <w:shd w:val="clear" w:color="auto" w:fill="191919"/>
        <w:spacing w:beforeAutospacing="1" w:after="0" w:afterAutospacing="1"/>
        <w:ind w:left="0" w:firstLine="0"/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</w:pPr>
      <w:r w:rsidRPr="00C626BE">
        <w:rPr>
          <w:rFonts w:ascii="inherit" w:eastAsia="Times New Roman" w:hAnsi="inherit" w:cs="Helvetica"/>
          <w:noProof/>
          <w:color w:val="FFFFFF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5297805" cy="4760595"/>
            <wp:effectExtent l="19050" t="0" r="0" b="0"/>
            <wp:docPr id="3" name="Kép 3" descr="download_sts_digital_frits_landesbergen_big_band_the_old_fashioned_way_bild_1291893847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_sts_digital_frits_landesbergen_big_band_the_old_fashioned_way_bild_1291893847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BE" w:rsidRPr="00C626BE" w:rsidRDefault="00C626BE" w:rsidP="00C626BE">
      <w:pPr>
        <w:shd w:val="clear" w:color="auto" w:fill="191919"/>
        <w:spacing w:before="100" w:beforeAutospacing="1" w:after="100" w:afterAutospacing="1"/>
        <w:ind w:left="0" w:firstLine="0"/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</w:pP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Mielőtt bármilyen készüléket kapcsolnának a felvételi láncba, saját fejlesztésű áramkondicionálóval tisztítják meg a hálózati áramot. Ahhoz, hogy a legjobbat </w:t>
      </w:r>
      <w:proofErr w:type="gram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hozzák</w:t>
      </w:r>
      <w:proofErr w:type="gram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ki a felvételekből már a mikrofonok kiválasztásánál ügyelnek az egyes hangszerek hangzásával egybeeső mikrofonok alkalmazására. Általában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Schoeps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gyártmányokat használnak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Siltech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és Van den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Hul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gyártmányú kábelezéssel.</w:t>
      </w: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br/>
        <w:t xml:space="preserve">A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demo-lemezeken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lévő program részeket nem úgy kell elképzelni, hogy azok egyéb kiadványokról összeválogatott zenék, hanem már a felvétel során az volt a fő cél, hogy az elkészült anyag a legkiválóbb hangvisszaadó rendszereken meghallgatva is természetes és életszerű eredményt nyújtson. Ezekkel a felvételekkel akár egy hifi-üzletben, akár otthon is képesek vagyunk vázolni egy adott hangrendszer kvalitásait és a felvételek zenei értéke is igen kimagasló.</w:t>
      </w:r>
    </w:p>
    <w:p w:rsidR="00C626BE" w:rsidRPr="00C626BE" w:rsidRDefault="00C626BE" w:rsidP="00C626BE">
      <w:pPr>
        <w:shd w:val="clear" w:color="auto" w:fill="191919"/>
        <w:spacing w:before="100" w:beforeAutospacing="1" w:after="100" w:afterAutospacing="1"/>
        <w:ind w:left="0" w:firstLine="0"/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</w:pP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Az STS hangmérnökei mindig 5 kulcsfontosságú tényező alapján határozzák meg egy mesterszalag vagy felvétel elkészítésének alapelveit:</w:t>
      </w:r>
    </w:p>
    <w:p w:rsidR="00C626BE" w:rsidRPr="00C626BE" w:rsidRDefault="00C626BE" w:rsidP="00C626BE">
      <w:pPr>
        <w:numPr>
          <w:ilvl w:val="0"/>
          <w:numId w:val="1"/>
        </w:numPr>
        <w:shd w:val="clear" w:color="auto" w:fill="191919"/>
        <w:spacing w:after="0"/>
        <w:ind w:left="0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</w:pPr>
      <w:r w:rsidRPr="00C626BE"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  <w:lastRenderedPageBreak/>
        <w:t xml:space="preserve">Természetes, meleg hangzás, ahol az akusztikus hangszerek a maguk valóságában szólalnak meg úgy, ahogyan azt a hangmérnök megálmodta. Ehhez a legmegfelelőbb eszközök a legújabb szénszálas kábelek és minőségi kondenzátor mikrofonok, jó minőségű </w:t>
      </w:r>
      <w:proofErr w:type="gramStart"/>
      <w:r w:rsidRPr="00C626BE"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  <w:t>A</w:t>
      </w:r>
      <w:proofErr w:type="gramEnd"/>
      <w:r w:rsidRPr="00C626BE"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  <w:t>/D konverterek állnak rendelkezésre.</w:t>
      </w:r>
    </w:p>
    <w:p w:rsidR="00C626BE" w:rsidRPr="00C626BE" w:rsidRDefault="00C626BE" w:rsidP="00C626BE">
      <w:pPr>
        <w:numPr>
          <w:ilvl w:val="0"/>
          <w:numId w:val="1"/>
        </w:numPr>
        <w:shd w:val="clear" w:color="auto" w:fill="191919"/>
        <w:spacing w:after="0"/>
        <w:ind w:left="0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</w:pPr>
      <w:r w:rsidRPr="00C626BE"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  <w:t>Az akusztikus környezet hűsége és a zenészek valóságos elhelyezkedése ebben a térben, melyet az STS–3 és az STS–6 felvételi rendszerrel valósulnak meg. Az STS hangmérnökei számára a vízszintes és a függőleges térbeli információk rögzítése a fontos.</w:t>
      </w:r>
    </w:p>
    <w:p w:rsidR="00C626BE" w:rsidRPr="00C626BE" w:rsidRDefault="00C626BE" w:rsidP="00C626BE">
      <w:pPr>
        <w:numPr>
          <w:ilvl w:val="0"/>
          <w:numId w:val="1"/>
        </w:numPr>
        <w:shd w:val="clear" w:color="auto" w:fill="191919"/>
        <w:spacing w:after="0"/>
        <w:ind w:left="0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</w:pPr>
      <w:r w:rsidRPr="00C626BE"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  <w:t>A felvétel fázisának helyességet, beleértve az elektromos és akusztikai fázist, amelyet a mikrofonok megfelelő elhelyezésével lehet megvalósítani. Ez ellenőrizhető a fejhallgatón és természetesen egy fázis mérővel is.</w:t>
      </w:r>
    </w:p>
    <w:p w:rsidR="00C626BE" w:rsidRPr="00C626BE" w:rsidRDefault="00C626BE" w:rsidP="00C626BE">
      <w:pPr>
        <w:numPr>
          <w:ilvl w:val="0"/>
          <w:numId w:val="1"/>
        </w:numPr>
        <w:shd w:val="clear" w:color="auto" w:fill="191919"/>
        <w:spacing w:after="0"/>
        <w:ind w:left="0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</w:pPr>
      <w:r w:rsidRPr="00C626BE"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  <w:t>A felvétel hangtömegének szimmetriája. Mindig olyan módon helyezik el a mikrofonokat, hogy a bal és a jobb oldalon teljes értékű egyenletes és egyforma átviteli karakterisztikával legyen a felvétel elkészítve.</w:t>
      </w:r>
    </w:p>
    <w:p w:rsidR="00C626BE" w:rsidRPr="00C626BE" w:rsidRDefault="00C626BE" w:rsidP="00C626BE">
      <w:pPr>
        <w:numPr>
          <w:ilvl w:val="0"/>
          <w:numId w:val="1"/>
        </w:numPr>
        <w:shd w:val="clear" w:color="auto" w:fill="191919"/>
        <w:spacing w:after="0"/>
        <w:ind w:left="0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</w:pPr>
      <w:r w:rsidRPr="00C626BE"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  <w:t xml:space="preserve">A felvétel átláthatósága és egyértelműsége. Ez nem azt jelenti, hogy túlságosan éles és steril a felvétel, mert a kapott hang puha és könnyen értelmezhető, amely különleges 3-dimenziós térként jelenik meg a </w:t>
      </w:r>
      <w:proofErr w:type="spellStart"/>
      <w:r w:rsidRPr="00C626BE"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  <w:t>lehallgatószobában</w:t>
      </w:r>
      <w:proofErr w:type="spellEnd"/>
      <w:r w:rsidRPr="00C626BE">
        <w:rPr>
          <w:rFonts w:ascii="inherit" w:eastAsia="Times New Roman" w:hAnsi="inherit" w:cs="Helvetica"/>
          <w:color w:val="999999"/>
          <w:sz w:val="24"/>
          <w:szCs w:val="24"/>
          <w:lang w:eastAsia="hu-HU"/>
        </w:rPr>
        <w:t>.</w:t>
      </w:r>
    </w:p>
    <w:p w:rsidR="00C626BE" w:rsidRPr="00C626BE" w:rsidRDefault="00C626BE" w:rsidP="00C626BE">
      <w:pPr>
        <w:shd w:val="clear" w:color="auto" w:fill="191919"/>
        <w:spacing w:before="100" w:beforeAutospacing="1" w:after="100" w:afterAutospacing="1"/>
        <w:ind w:left="0" w:firstLine="0"/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</w:pP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Az MW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CodingProcess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™ eljárást saját szabadalom védi, a titkot és a gyártási eljárást őrizve annyi elmondható, hogy lényegében az egész felvételi láncolaton keresztül, (a felvételtől a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mastering-ig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) </w:t>
      </w:r>
      <w:proofErr w:type="gram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paraméter optimalizálás</w:t>
      </w:r>
      <w:proofErr w:type="gram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folyik. Eredménye a precíz hangzás, széles dinamikatartomány, hangszínpad és lokalizációs hatás. A felvételek meghallgatása közben koncentrálni tudunk egyes hangszeres játékosok szólamaira annak ellenére, hogy a zenekarban, összhangzatban játszanak. Az elkészített felvétel tökéletes kombinációja a digitális pontosságnak és az analóg karakternek.</w:t>
      </w:r>
    </w:p>
    <w:p w:rsidR="00C626BE" w:rsidRPr="00C626BE" w:rsidRDefault="00C626BE" w:rsidP="00C626BE">
      <w:pPr>
        <w:shd w:val="clear" w:color="auto" w:fill="191919"/>
        <w:spacing w:before="100" w:beforeAutospacing="1" w:after="100" w:afterAutospacing="1"/>
        <w:ind w:left="0" w:firstLine="0"/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</w:pPr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Termékeiket a világ minden táján sok rangos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High-End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</w:t>
      </w:r>
      <w:proofErr w:type="spellStart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>gyártócég</w:t>
      </w:r>
      <w:proofErr w:type="spellEnd"/>
      <w:r w:rsidRPr="00C626BE">
        <w:rPr>
          <w:rFonts w:ascii="Helvetica" w:eastAsia="Times New Roman" w:hAnsi="Helvetica" w:cs="Helvetica"/>
          <w:color w:val="DDDCDC"/>
          <w:sz w:val="24"/>
          <w:szCs w:val="24"/>
          <w:lang w:eastAsia="hu-HU"/>
        </w:rPr>
        <w:t xml:space="preserve"> és kereskedő propagálja, minden nagyobb hifi-show megrendezésekor demonstrálja.</w:t>
      </w:r>
    </w:p>
    <w:p w:rsidR="004839F3" w:rsidRDefault="004839F3"/>
    <w:sectPr w:rsidR="004839F3" w:rsidSect="0048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FA"/>
    <w:multiLevelType w:val="multilevel"/>
    <w:tmpl w:val="48CE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C626BE"/>
    <w:rsid w:val="00082A00"/>
    <w:rsid w:val="004839F3"/>
    <w:rsid w:val="00C6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40"/>
        <w:ind w:left="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9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626B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6B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hangzasvilag.hu/wp-content/uploads/436e51_xl.jp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hangzasvilag.hu/wp-content/uploads/STS-Fritz-studio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hangzasvilag.hu/wp-content/uploads/download_sts_digital_frits_landesbergen_big_band_the_old_fashioned_way_bild_1291893847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5992</Characters>
  <Application>Microsoft Office Word</Application>
  <DocSecurity>0</DocSecurity>
  <Lines>49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Nappali</dc:creator>
  <cp:lastModifiedBy>Nappali</cp:lastModifiedBy>
  <cp:revision>2</cp:revision>
  <dcterms:created xsi:type="dcterms:W3CDTF">2022-05-19T18:51:00Z</dcterms:created>
  <dcterms:modified xsi:type="dcterms:W3CDTF">2022-05-19T18:59:00Z</dcterms:modified>
</cp:coreProperties>
</file>